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57" w:rsidRDefault="00951E57" w:rsidP="004A465E">
      <w:pPr>
        <w:spacing w:after="0"/>
      </w:pPr>
    </w:p>
    <w:p w:rsidR="004A465E" w:rsidRDefault="004A465E" w:rsidP="004A465E">
      <w:pPr>
        <w:spacing w:after="0"/>
      </w:pPr>
    </w:p>
    <w:p w:rsidR="00E1115E" w:rsidRPr="00EF0173" w:rsidRDefault="00E1115E" w:rsidP="00EF0173">
      <w:pPr>
        <w:jc w:val="center"/>
        <w:rPr>
          <w:rFonts w:ascii="Arial" w:hAnsi="Arial" w:cs="Arial"/>
          <w:b/>
          <w:sz w:val="36"/>
          <w:szCs w:val="36"/>
        </w:rPr>
      </w:pPr>
      <w:r w:rsidRPr="00F87390">
        <w:rPr>
          <w:rFonts w:ascii="Arial" w:hAnsi="Arial" w:cs="Arial"/>
          <w:b/>
          <w:sz w:val="36"/>
          <w:szCs w:val="36"/>
        </w:rPr>
        <w:t>OBRAZLOŽENJE</w:t>
      </w:r>
    </w:p>
    <w:p w:rsidR="00E1115E" w:rsidRPr="00EF0173" w:rsidRDefault="00E1115E" w:rsidP="00E1115E">
      <w:pPr>
        <w:tabs>
          <w:tab w:val="left" w:pos="480"/>
        </w:tabs>
        <w:jc w:val="both"/>
        <w:rPr>
          <w:rFonts w:ascii="Arial" w:hAnsi="Arial" w:cs="Arial"/>
          <w:b/>
        </w:rPr>
      </w:pPr>
      <w:r w:rsidRPr="00F87390">
        <w:rPr>
          <w:rFonts w:ascii="Arial" w:hAnsi="Arial" w:cs="Arial"/>
          <w:b/>
        </w:rPr>
        <w:t>I    ZAKONSKI OSNOV</w:t>
      </w:r>
    </w:p>
    <w:p w:rsidR="00E1115E" w:rsidRPr="00EF0173" w:rsidRDefault="00E1115E" w:rsidP="00E1115E">
      <w:pPr>
        <w:jc w:val="both"/>
        <w:rPr>
          <w:rFonts w:ascii="Arial" w:hAnsi="Arial" w:cs="Arial"/>
          <w:bCs/>
          <w:sz w:val="24"/>
          <w:szCs w:val="24"/>
        </w:rPr>
      </w:pPr>
      <w:proofErr w:type="gramStart"/>
      <w:r w:rsidRPr="00EF0173">
        <w:rPr>
          <w:rFonts w:ascii="Arial" w:hAnsi="Arial" w:cs="Arial"/>
          <w:sz w:val="24"/>
          <w:szCs w:val="24"/>
        </w:rPr>
        <w:t>Odluka o Budžetu Opštine Bar za 2021.</w:t>
      </w:r>
      <w:proofErr w:type="gramEnd"/>
      <w:r w:rsidRPr="00EF0173">
        <w:rPr>
          <w:rFonts w:ascii="Arial" w:hAnsi="Arial" w:cs="Arial"/>
          <w:sz w:val="24"/>
          <w:szCs w:val="24"/>
        </w:rPr>
        <w:t xml:space="preserve"> </w:t>
      </w:r>
      <w:proofErr w:type="gramStart"/>
      <w:r w:rsidRPr="00EF0173">
        <w:rPr>
          <w:rFonts w:ascii="Arial" w:hAnsi="Arial" w:cs="Arial"/>
          <w:sz w:val="24"/>
          <w:szCs w:val="24"/>
        </w:rPr>
        <w:t>godinu</w:t>
      </w:r>
      <w:proofErr w:type="gramEnd"/>
      <w:r w:rsidRPr="00EF0173">
        <w:rPr>
          <w:rFonts w:ascii="Arial" w:hAnsi="Arial" w:cs="Arial"/>
          <w:sz w:val="24"/>
          <w:szCs w:val="24"/>
        </w:rPr>
        <w:t xml:space="preserve"> usvojena je na sjednici Skupštine Opštine Bar, koja je održana 17.12.2020. </w:t>
      </w:r>
      <w:proofErr w:type="gramStart"/>
      <w:r w:rsidRPr="00EF0173">
        <w:rPr>
          <w:rFonts w:ascii="Arial" w:hAnsi="Arial" w:cs="Arial"/>
          <w:sz w:val="24"/>
          <w:szCs w:val="24"/>
        </w:rPr>
        <w:t>godine</w:t>
      </w:r>
      <w:proofErr w:type="gramEnd"/>
      <w:r w:rsidRPr="00EF0173">
        <w:rPr>
          <w:rFonts w:ascii="Arial" w:hAnsi="Arial" w:cs="Arial"/>
          <w:sz w:val="24"/>
          <w:szCs w:val="24"/>
        </w:rPr>
        <w:t xml:space="preserve"> i ista je objavljena u „Službenom listu CG - opštinski propisi”, br. 44/20 od 24.12.2020. </w:t>
      </w:r>
      <w:proofErr w:type="gramStart"/>
      <w:r w:rsidRPr="00EF0173">
        <w:rPr>
          <w:rFonts w:ascii="Arial" w:hAnsi="Arial" w:cs="Arial"/>
          <w:sz w:val="24"/>
          <w:szCs w:val="24"/>
        </w:rPr>
        <w:t>godine</w:t>
      </w:r>
      <w:proofErr w:type="gramEnd"/>
      <w:r w:rsidRPr="00EF0173">
        <w:rPr>
          <w:rFonts w:ascii="Arial" w:hAnsi="Arial" w:cs="Arial"/>
          <w:sz w:val="24"/>
          <w:szCs w:val="24"/>
        </w:rPr>
        <w:t xml:space="preserve">. </w:t>
      </w:r>
      <w:proofErr w:type="gramStart"/>
      <w:r w:rsidRPr="00EF0173">
        <w:rPr>
          <w:rFonts w:ascii="Arial" w:hAnsi="Arial" w:cs="Arial"/>
          <w:sz w:val="24"/>
          <w:szCs w:val="24"/>
        </w:rPr>
        <w:t>Zakonski osnov za predlaganje Odluke o izmjenama i dopunama Odluke o Budžetu Opštine Bar za 2021.</w:t>
      </w:r>
      <w:proofErr w:type="gramEnd"/>
      <w:r w:rsidRPr="00EF0173">
        <w:rPr>
          <w:rFonts w:ascii="Arial" w:hAnsi="Arial" w:cs="Arial"/>
          <w:sz w:val="24"/>
          <w:szCs w:val="24"/>
        </w:rPr>
        <w:t xml:space="preserve"> </w:t>
      </w:r>
      <w:proofErr w:type="gramStart"/>
      <w:r w:rsidRPr="00EF0173">
        <w:rPr>
          <w:rFonts w:ascii="Arial" w:hAnsi="Arial" w:cs="Arial"/>
          <w:sz w:val="24"/>
          <w:szCs w:val="24"/>
        </w:rPr>
        <w:t>godinu</w:t>
      </w:r>
      <w:proofErr w:type="gramEnd"/>
      <w:r w:rsidRPr="00EF0173">
        <w:rPr>
          <w:rFonts w:ascii="Arial" w:hAnsi="Arial" w:cs="Arial"/>
          <w:sz w:val="24"/>
          <w:szCs w:val="24"/>
        </w:rPr>
        <w:t xml:space="preserve"> sadržan je u odredbama člana </w:t>
      </w:r>
      <w:r w:rsidRPr="00EF0173">
        <w:rPr>
          <w:rFonts w:ascii="Arial" w:hAnsi="Arial" w:cs="Arial"/>
          <w:bCs/>
          <w:sz w:val="24"/>
          <w:szCs w:val="24"/>
        </w:rPr>
        <w:t xml:space="preserve">31 stav 2 Zakona o finansiranju lokalne samouprave („Sl.list CG“, br. 3/19) i člana 43 stav 1 tačka </w:t>
      </w:r>
      <w:r w:rsidR="009C65EC">
        <w:rPr>
          <w:rFonts w:ascii="Arial" w:hAnsi="Arial" w:cs="Arial"/>
          <w:bCs/>
          <w:sz w:val="24"/>
          <w:szCs w:val="24"/>
        </w:rPr>
        <w:t>7</w:t>
      </w:r>
      <w:r w:rsidRPr="00EF0173">
        <w:rPr>
          <w:rFonts w:ascii="Arial" w:hAnsi="Arial" w:cs="Arial"/>
          <w:bCs/>
          <w:sz w:val="24"/>
          <w:szCs w:val="24"/>
        </w:rPr>
        <w:t xml:space="preserve"> Statuta Opštine Bar („Sl.list CG - opštinski propisi“, br. 37/18).</w:t>
      </w:r>
    </w:p>
    <w:p w:rsidR="00E1115E" w:rsidRPr="00B01FEF" w:rsidRDefault="00E1115E" w:rsidP="00E1115E">
      <w:pPr>
        <w:jc w:val="both"/>
        <w:rPr>
          <w:rFonts w:ascii="Arial" w:hAnsi="Arial" w:cs="Arial"/>
          <w:sz w:val="16"/>
          <w:szCs w:val="16"/>
        </w:rPr>
      </w:pPr>
    </w:p>
    <w:p w:rsidR="00E1115E" w:rsidRPr="00EA048B" w:rsidRDefault="00E1115E" w:rsidP="00E1115E">
      <w:pPr>
        <w:jc w:val="both"/>
        <w:rPr>
          <w:rFonts w:ascii="Arial" w:hAnsi="Arial" w:cs="Arial"/>
          <w:b/>
          <w:u w:val="single"/>
          <w:lang w:val="es-US"/>
        </w:rPr>
      </w:pPr>
      <w:r w:rsidRPr="00EA048B">
        <w:rPr>
          <w:rFonts w:ascii="Arial" w:hAnsi="Arial" w:cs="Arial"/>
          <w:b/>
          <w:lang w:val="es-US"/>
        </w:rPr>
        <w:t>II</w:t>
      </w:r>
      <w:r w:rsidRPr="00EA048B">
        <w:rPr>
          <w:rFonts w:ascii="Arial" w:hAnsi="Arial" w:cs="Arial"/>
          <w:lang w:val="es-US"/>
        </w:rPr>
        <w:t xml:space="preserve">    </w:t>
      </w:r>
      <w:r w:rsidRPr="00EA048B">
        <w:rPr>
          <w:rFonts w:ascii="Arial" w:hAnsi="Arial" w:cs="Arial"/>
          <w:b/>
          <w:lang w:val="es-US"/>
        </w:rPr>
        <w:t xml:space="preserve">OBRAZLOŽENJE PRIMITAKA PO REBALANSU ZA 2021. </w:t>
      </w:r>
      <w:proofErr w:type="gramStart"/>
      <w:r w:rsidRPr="00EA048B">
        <w:rPr>
          <w:rFonts w:ascii="Arial" w:hAnsi="Arial" w:cs="Arial"/>
          <w:b/>
          <w:lang w:val="es-US"/>
        </w:rPr>
        <w:t>godinu</w:t>
      </w:r>
      <w:proofErr w:type="gramEnd"/>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t xml:space="preserve">Odlukom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(„Službeni list CG - opštinski propisi”, br. 44/20) utvrđena su sredstva u iznosu od 20.000.000,00 €. </w:t>
      </w:r>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t>Analizirajući ostvarenje prihoda u periodu januar – septembar tekuće godine i očekivane tendencije kretanja prihoda do kraja godine, sačinjena je rebalansna projekcija istih. Takođe, izvršeno je usklađivanje primitaka i izdataka budžeta sa procjenom njihovog ostvarenja do kraja godine.</w:t>
      </w:r>
    </w:p>
    <w:p w:rsidR="00E1115E" w:rsidRPr="00EA048B" w:rsidRDefault="00E1115E" w:rsidP="00EF0173">
      <w:pPr>
        <w:spacing w:after="0"/>
        <w:jc w:val="both"/>
        <w:rPr>
          <w:rFonts w:ascii="Arial" w:hAnsi="Arial" w:cs="Arial"/>
          <w:sz w:val="24"/>
          <w:szCs w:val="24"/>
          <w:lang w:val="es-US"/>
        </w:rPr>
      </w:pPr>
      <w:r w:rsidRPr="00EA048B">
        <w:rPr>
          <w:rFonts w:ascii="Arial" w:hAnsi="Arial" w:cs="Arial"/>
          <w:sz w:val="24"/>
          <w:szCs w:val="24"/>
          <w:lang w:val="es-US"/>
        </w:rPr>
        <w:t>Najvažniji razlozi za predlaganje Rebalansa budžeta su:</w:t>
      </w:r>
    </w:p>
    <w:p w:rsidR="000C0023" w:rsidRPr="00EA048B" w:rsidRDefault="000C0023" w:rsidP="00EF0173">
      <w:pPr>
        <w:spacing w:after="0"/>
        <w:jc w:val="both"/>
        <w:rPr>
          <w:rFonts w:ascii="Arial" w:hAnsi="Arial" w:cs="Arial"/>
          <w:sz w:val="24"/>
          <w:szCs w:val="24"/>
          <w:lang w:val="es-US"/>
        </w:rPr>
      </w:pPr>
    </w:p>
    <w:p w:rsidR="00E1115E" w:rsidRPr="00EA048B" w:rsidRDefault="00E1115E" w:rsidP="00EF0173">
      <w:pPr>
        <w:numPr>
          <w:ilvl w:val="0"/>
          <w:numId w:val="5"/>
        </w:numPr>
        <w:spacing w:after="0" w:line="240" w:lineRule="auto"/>
        <w:jc w:val="both"/>
        <w:rPr>
          <w:rFonts w:ascii="Arial" w:hAnsi="Arial" w:cs="Arial"/>
          <w:sz w:val="24"/>
          <w:szCs w:val="24"/>
          <w:lang w:val="es-US"/>
        </w:rPr>
      </w:pPr>
      <w:r w:rsidRPr="00EA048B">
        <w:rPr>
          <w:rFonts w:ascii="Arial" w:hAnsi="Arial" w:cs="Arial"/>
          <w:sz w:val="24"/>
          <w:szCs w:val="24"/>
          <w:lang w:val="es-US"/>
        </w:rPr>
        <w:t>bolje ostvarenje određenih sopstvenih prihoda u odnosu na planska predviđanja i to prvenstveno poreza na nepokretnosti i turističke takse, čije ostvarenje je u prvih devet mjeseci premašilo inicijalni plan po Budžetu za 2021. godinu i to: porez na nepokretnosti za 18,53%, a turistička taksa za 72,99%,</w:t>
      </w:r>
    </w:p>
    <w:p w:rsidR="00E1115E" w:rsidRPr="00EA048B" w:rsidRDefault="00E1115E" w:rsidP="00EF0173">
      <w:pPr>
        <w:spacing w:after="0"/>
        <w:jc w:val="both"/>
        <w:rPr>
          <w:rFonts w:ascii="Arial" w:hAnsi="Arial" w:cs="Arial"/>
          <w:sz w:val="24"/>
          <w:szCs w:val="24"/>
          <w:lang w:val="es-US"/>
        </w:rPr>
      </w:pPr>
    </w:p>
    <w:p w:rsidR="00E1115E" w:rsidRPr="00EA048B" w:rsidRDefault="00E1115E" w:rsidP="00EF0173">
      <w:pPr>
        <w:numPr>
          <w:ilvl w:val="0"/>
          <w:numId w:val="5"/>
        </w:numPr>
        <w:spacing w:after="0" w:line="240" w:lineRule="auto"/>
        <w:jc w:val="both"/>
        <w:rPr>
          <w:rFonts w:ascii="Arial" w:hAnsi="Arial" w:cs="Arial"/>
          <w:sz w:val="24"/>
          <w:szCs w:val="24"/>
          <w:lang w:val="es-US"/>
        </w:rPr>
      </w:pPr>
      <w:r w:rsidRPr="00EA048B">
        <w:rPr>
          <w:rFonts w:ascii="Arial" w:hAnsi="Arial" w:cs="Arial"/>
          <w:sz w:val="24"/>
          <w:szCs w:val="24"/>
          <w:lang w:val="es-US"/>
        </w:rPr>
        <w:t>Usvajanje paketa mjera sa ciljem pružanja podrške privredi u prevazilaženju negativnih posljedica izazvanih epidemijom COVID 19, koje su podrazumjevale oslobađanje plaćanja dijela lokalnih javnih prihoda,</w:t>
      </w:r>
    </w:p>
    <w:p w:rsidR="00E1115E" w:rsidRPr="00EA048B" w:rsidRDefault="00E1115E" w:rsidP="00E1115E">
      <w:pPr>
        <w:pStyle w:val="ListParagraph"/>
        <w:rPr>
          <w:rFonts w:ascii="Arial" w:hAnsi="Arial" w:cs="Arial"/>
          <w:lang w:val="es-US"/>
        </w:rPr>
      </w:pPr>
    </w:p>
    <w:p w:rsidR="00E1115E" w:rsidRPr="00EA048B" w:rsidRDefault="00E1115E" w:rsidP="00EF0173">
      <w:pPr>
        <w:numPr>
          <w:ilvl w:val="0"/>
          <w:numId w:val="5"/>
        </w:numPr>
        <w:spacing w:after="0" w:line="240" w:lineRule="auto"/>
        <w:jc w:val="both"/>
        <w:rPr>
          <w:rFonts w:ascii="Arial" w:hAnsi="Arial" w:cs="Arial"/>
          <w:sz w:val="24"/>
          <w:szCs w:val="24"/>
          <w:lang w:val="es-US"/>
        </w:rPr>
      </w:pPr>
      <w:r w:rsidRPr="00EA048B">
        <w:rPr>
          <w:rFonts w:ascii="Arial" w:hAnsi="Arial" w:cs="Arial"/>
          <w:sz w:val="24"/>
          <w:szCs w:val="24"/>
          <w:lang w:val="es-US"/>
        </w:rPr>
        <w:t xml:space="preserve">Vlada Crne Gore je na sjednici održanoj 22. jula 2021. godine donijela Odluku o izmjeni i dopuni Odluke o izradi izmjena i dopuna </w:t>
      </w:r>
      <w:r w:rsidR="00893ECD" w:rsidRPr="00EA048B">
        <w:rPr>
          <w:rFonts w:ascii="Arial" w:hAnsi="Arial" w:cs="Arial"/>
          <w:sz w:val="24"/>
          <w:szCs w:val="24"/>
          <w:lang w:val="es-US"/>
        </w:rPr>
        <w:t>D</w:t>
      </w:r>
      <w:r w:rsidRPr="00EA048B">
        <w:rPr>
          <w:rFonts w:ascii="Arial" w:hAnsi="Arial" w:cs="Arial"/>
          <w:sz w:val="24"/>
          <w:szCs w:val="24"/>
          <w:lang w:val="es-US"/>
        </w:rPr>
        <w:t xml:space="preserve">etaljnog urbanističkog plana </w:t>
      </w:r>
      <w:r w:rsidR="00893ECD" w:rsidRPr="00EA048B">
        <w:rPr>
          <w:rFonts w:ascii="Arial" w:hAnsi="Arial" w:cs="Arial"/>
          <w:sz w:val="24"/>
          <w:szCs w:val="24"/>
          <w:lang w:val="es-US"/>
        </w:rPr>
        <w:t>„</w:t>
      </w:r>
      <w:r w:rsidRPr="00EA048B">
        <w:rPr>
          <w:rFonts w:ascii="Arial" w:hAnsi="Arial" w:cs="Arial"/>
          <w:sz w:val="24"/>
          <w:szCs w:val="24"/>
          <w:lang w:val="es-US"/>
        </w:rPr>
        <w:t>Topolica IV</w:t>
      </w:r>
      <w:r w:rsidR="00893ECD" w:rsidRPr="00EA048B">
        <w:rPr>
          <w:rFonts w:ascii="Arial" w:hAnsi="Arial" w:cs="Arial"/>
          <w:sz w:val="24"/>
          <w:szCs w:val="24"/>
          <w:lang w:val="es-US"/>
        </w:rPr>
        <w:t>“ Opština Bar</w:t>
      </w:r>
      <w:r w:rsidRPr="00EA048B">
        <w:rPr>
          <w:rFonts w:ascii="Arial" w:hAnsi="Arial" w:cs="Arial"/>
          <w:sz w:val="24"/>
          <w:szCs w:val="24"/>
          <w:lang w:val="es-US"/>
        </w:rPr>
        <w:t xml:space="preserve"> („Sl. list CG“, br. 91/21 od 27.08.2021.g.), kojom se zabranjuje građenje na prostoru predmetnog DUP-a, do donošenja Izmjena i dopuna, a najduže u trajanju od 12 mjeseci, što je direktno uticalo na smanjenje prihoda  po osnovu naknade za komunalno opremanje građevinskog zemljišta – komunalija, te prihoda od prodaje nepokretnosti,</w:t>
      </w:r>
    </w:p>
    <w:p w:rsidR="00E1115E" w:rsidRPr="00EA048B" w:rsidRDefault="00E1115E" w:rsidP="00EF0173">
      <w:pPr>
        <w:spacing w:after="0"/>
        <w:jc w:val="both"/>
        <w:rPr>
          <w:rFonts w:ascii="Arial" w:hAnsi="Arial" w:cs="Arial"/>
          <w:sz w:val="24"/>
          <w:szCs w:val="24"/>
          <w:lang w:val="es-US"/>
        </w:rPr>
      </w:pPr>
    </w:p>
    <w:p w:rsidR="00E1115E" w:rsidRPr="00EA048B" w:rsidRDefault="00E1115E" w:rsidP="00EF0173">
      <w:pPr>
        <w:numPr>
          <w:ilvl w:val="0"/>
          <w:numId w:val="3"/>
        </w:numPr>
        <w:spacing w:after="0" w:line="240" w:lineRule="auto"/>
        <w:jc w:val="both"/>
        <w:rPr>
          <w:rFonts w:ascii="Arial" w:hAnsi="Arial" w:cs="Arial"/>
          <w:sz w:val="24"/>
          <w:szCs w:val="24"/>
          <w:lang w:val="es-US"/>
        </w:rPr>
      </w:pPr>
      <w:r w:rsidRPr="00EA048B">
        <w:rPr>
          <w:rFonts w:ascii="Arial" w:hAnsi="Arial" w:cs="Arial"/>
          <w:sz w:val="24"/>
          <w:szCs w:val="24"/>
          <w:lang w:val="es-US"/>
        </w:rPr>
        <w:t>Sredstva prenesena iz 2020. godine u 2021. godinu, odnosno početni depozit koji je realizovan 44,33% više u odnosu na planirana sredstva Odlukom o Budžetu Opštine Bar za 2021. godinu.</w:t>
      </w:r>
    </w:p>
    <w:p w:rsidR="00E1115E" w:rsidRPr="00EA048B" w:rsidRDefault="00E1115E" w:rsidP="00EF0173">
      <w:pPr>
        <w:spacing w:after="0"/>
        <w:ind w:left="720"/>
        <w:jc w:val="both"/>
        <w:rPr>
          <w:rFonts w:ascii="Arial" w:hAnsi="Arial" w:cs="Arial"/>
          <w:sz w:val="24"/>
          <w:szCs w:val="24"/>
          <w:lang w:val="es-US"/>
        </w:rPr>
      </w:pPr>
    </w:p>
    <w:p w:rsidR="00B01FEF" w:rsidRPr="00EA048B" w:rsidRDefault="00B01FEF" w:rsidP="00B01FEF">
      <w:pPr>
        <w:jc w:val="both"/>
        <w:rPr>
          <w:rFonts w:ascii="Arial" w:hAnsi="Arial" w:cs="Arial"/>
          <w:lang w:val="es-US"/>
        </w:rPr>
      </w:pPr>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lastRenderedPageBreak/>
        <w:t xml:space="preserve">Odlukom o izmjenama i dopunama Odluke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odnosno Rebalansom ukupni primici planirani su u iznosu od </w:t>
      </w:r>
      <w:r w:rsidRPr="00EA048B">
        <w:rPr>
          <w:rFonts w:ascii="Arial" w:hAnsi="Arial" w:cs="Arial"/>
          <w:b/>
          <w:sz w:val="24"/>
          <w:szCs w:val="24"/>
          <w:lang w:val="es-US"/>
        </w:rPr>
        <w:t>21.800.000,00 €,</w:t>
      </w:r>
      <w:r w:rsidRPr="00EA048B">
        <w:rPr>
          <w:rFonts w:ascii="Arial" w:hAnsi="Arial" w:cs="Arial"/>
          <w:sz w:val="24"/>
          <w:szCs w:val="24"/>
          <w:lang w:val="es-US"/>
        </w:rPr>
        <w:t xml:space="preserve"> što je više od primitaka planiranih po Odluci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za 9,00%.</w:t>
      </w:r>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t xml:space="preserve">Sopstveni prihodi po Rebalansu planirani su u iznosu od 15.745.000,00 € ili 7,40% više u odnosu na plan po Odluci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w:t>
      </w:r>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t xml:space="preserve">Ustupljeni prihodi po Rebalansu planirani su u iznosu od 3.680.000,00 € ili 1,38% više u odnosu na plan po Odluci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w:t>
      </w:r>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t>U sledećoj tabeli prikazana je rebalansna projekcija budžetskih primitaka:</w:t>
      </w:r>
    </w:p>
    <w:tbl>
      <w:tblPr>
        <w:tblW w:w="10509" w:type="dxa"/>
        <w:tblInd w:w="-34" w:type="dxa"/>
        <w:tblLook w:val="04A0"/>
      </w:tblPr>
      <w:tblGrid>
        <w:gridCol w:w="680"/>
        <w:gridCol w:w="4849"/>
        <w:gridCol w:w="1984"/>
        <w:gridCol w:w="1985"/>
        <w:gridCol w:w="1011"/>
      </w:tblGrid>
      <w:tr w:rsidR="00E1115E" w:rsidRPr="00F87390" w:rsidTr="00B01FEF">
        <w:trPr>
          <w:trHeight w:hRule="exact" w:val="397"/>
        </w:trPr>
        <w:tc>
          <w:tcPr>
            <w:tcW w:w="680" w:type="dxa"/>
            <w:vMerge w:val="restart"/>
            <w:tcBorders>
              <w:top w:val="double" w:sz="6" w:space="0" w:color="auto"/>
              <w:left w:val="double" w:sz="6" w:space="0" w:color="auto"/>
              <w:bottom w:val="single" w:sz="4" w:space="0" w:color="auto"/>
              <w:right w:val="single" w:sz="4" w:space="0" w:color="auto"/>
            </w:tcBorders>
            <w:shd w:val="clear" w:color="auto" w:fill="92CDDC"/>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r.b.</w:t>
            </w:r>
          </w:p>
        </w:tc>
        <w:tc>
          <w:tcPr>
            <w:tcW w:w="4849" w:type="dxa"/>
            <w:vMerge w:val="restart"/>
            <w:tcBorders>
              <w:top w:val="double" w:sz="6" w:space="0" w:color="auto"/>
              <w:left w:val="single" w:sz="4" w:space="0" w:color="auto"/>
              <w:bottom w:val="single" w:sz="4" w:space="0" w:color="auto"/>
              <w:right w:val="single" w:sz="4" w:space="0" w:color="auto"/>
            </w:tcBorders>
            <w:shd w:val="clear" w:color="auto" w:fill="92CDDC"/>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O P I S</w:t>
            </w:r>
          </w:p>
        </w:tc>
        <w:tc>
          <w:tcPr>
            <w:tcW w:w="1984" w:type="dxa"/>
            <w:vMerge w:val="restart"/>
            <w:tcBorders>
              <w:top w:val="double" w:sz="6" w:space="0" w:color="auto"/>
              <w:left w:val="single" w:sz="4" w:space="0" w:color="auto"/>
              <w:bottom w:val="single" w:sz="4" w:space="0" w:color="auto"/>
              <w:right w:val="single" w:sz="4" w:space="0" w:color="auto"/>
            </w:tcBorders>
            <w:shd w:val="clear" w:color="auto" w:fill="92CDDC"/>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 xml:space="preserve">Budžet </w:t>
            </w:r>
          </w:p>
          <w:p w:rsidR="00E1115E" w:rsidRPr="00F87390" w:rsidRDefault="00E1115E" w:rsidP="00B01FEF">
            <w:pPr>
              <w:spacing w:after="0"/>
              <w:jc w:val="center"/>
              <w:rPr>
                <w:rFonts w:ascii="Arial" w:hAnsi="Arial" w:cs="Arial"/>
                <w:b/>
                <w:bCs/>
              </w:rPr>
            </w:pPr>
            <w:r w:rsidRPr="00F87390">
              <w:rPr>
                <w:rFonts w:ascii="Arial" w:hAnsi="Arial" w:cs="Arial"/>
                <w:b/>
                <w:bCs/>
              </w:rPr>
              <w:t>za 2021.g.</w:t>
            </w:r>
          </w:p>
        </w:tc>
        <w:tc>
          <w:tcPr>
            <w:tcW w:w="1985" w:type="dxa"/>
            <w:vMerge w:val="restart"/>
            <w:tcBorders>
              <w:top w:val="double" w:sz="6" w:space="0" w:color="auto"/>
              <w:left w:val="single" w:sz="4" w:space="0" w:color="auto"/>
              <w:bottom w:val="single" w:sz="4" w:space="0" w:color="auto"/>
              <w:right w:val="single" w:sz="4" w:space="0" w:color="auto"/>
            </w:tcBorders>
            <w:shd w:val="clear" w:color="auto" w:fill="92CDDC"/>
            <w:vAlign w:val="center"/>
            <w:hideMark/>
          </w:tcPr>
          <w:p w:rsidR="00B01FEF" w:rsidRDefault="00E1115E" w:rsidP="00B01FEF">
            <w:pPr>
              <w:spacing w:after="0"/>
              <w:jc w:val="center"/>
              <w:rPr>
                <w:rFonts w:ascii="Arial" w:hAnsi="Arial" w:cs="Arial"/>
                <w:b/>
                <w:bCs/>
              </w:rPr>
            </w:pPr>
            <w:r w:rsidRPr="00F87390">
              <w:rPr>
                <w:rFonts w:ascii="Arial" w:hAnsi="Arial" w:cs="Arial"/>
                <w:b/>
                <w:bCs/>
              </w:rPr>
              <w:t xml:space="preserve">Rebalans </w:t>
            </w:r>
          </w:p>
          <w:p w:rsidR="00E1115E" w:rsidRPr="00F87390" w:rsidRDefault="00E1115E" w:rsidP="00B01FEF">
            <w:pPr>
              <w:spacing w:after="0"/>
              <w:jc w:val="center"/>
              <w:rPr>
                <w:rFonts w:ascii="Arial" w:hAnsi="Arial" w:cs="Arial"/>
                <w:b/>
                <w:bCs/>
              </w:rPr>
            </w:pPr>
            <w:r w:rsidRPr="00F87390">
              <w:rPr>
                <w:rFonts w:ascii="Arial" w:hAnsi="Arial" w:cs="Arial"/>
                <w:b/>
                <w:bCs/>
              </w:rPr>
              <w:t>za 2021.g.</w:t>
            </w:r>
          </w:p>
        </w:tc>
        <w:tc>
          <w:tcPr>
            <w:tcW w:w="1011" w:type="dxa"/>
            <w:vMerge w:val="restart"/>
            <w:tcBorders>
              <w:top w:val="double" w:sz="6" w:space="0" w:color="auto"/>
              <w:left w:val="single" w:sz="4" w:space="0" w:color="auto"/>
              <w:bottom w:val="single" w:sz="4" w:space="0" w:color="000000"/>
              <w:right w:val="double" w:sz="6" w:space="0" w:color="auto"/>
            </w:tcBorders>
            <w:shd w:val="clear" w:color="auto" w:fill="92CDDC"/>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Index</w:t>
            </w:r>
          </w:p>
        </w:tc>
      </w:tr>
      <w:tr w:rsidR="00E1115E" w:rsidRPr="00F87390" w:rsidTr="00B01FEF">
        <w:trPr>
          <w:trHeight w:val="510"/>
        </w:trPr>
        <w:tc>
          <w:tcPr>
            <w:tcW w:w="680" w:type="dxa"/>
            <w:vMerge/>
            <w:tcBorders>
              <w:top w:val="double" w:sz="6" w:space="0" w:color="auto"/>
              <w:left w:val="double" w:sz="6" w:space="0" w:color="auto"/>
              <w:bottom w:val="single" w:sz="4" w:space="0" w:color="auto"/>
              <w:right w:val="single" w:sz="4" w:space="0" w:color="auto"/>
            </w:tcBorders>
            <w:shd w:val="clear" w:color="auto" w:fill="92CDDC"/>
            <w:vAlign w:val="center"/>
            <w:hideMark/>
          </w:tcPr>
          <w:p w:rsidR="00E1115E" w:rsidRPr="00F87390" w:rsidRDefault="00E1115E" w:rsidP="00B01FEF">
            <w:pPr>
              <w:spacing w:after="0"/>
              <w:rPr>
                <w:rFonts w:ascii="Arial" w:hAnsi="Arial" w:cs="Arial"/>
                <w:b/>
                <w:bCs/>
              </w:rPr>
            </w:pPr>
          </w:p>
        </w:tc>
        <w:tc>
          <w:tcPr>
            <w:tcW w:w="4849" w:type="dxa"/>
            <w:vMerge/>
            <w:tcBorders>
              <w:top w:val="double" w:sz="6" w:space="0" w:color="auto"/>
              <w:left w:val="single" w:sz="4" w:space="0" w:color="auto"/>
              <w:bottom w:val="single" w:sz="4" w:space="0" w:color="auto"/>
              <w:right w:val="single" w:sz="4" w:space="0" w:color="auto"/>
            </w:tcBorders>
            <w:shd w:val="clear" w:color="auto" w:fill="92CDDC"/>
            <w:vAlign w:val="center"/>
            <w:hideMark/>
          </w:tcPr>
          <w:p w:rsidR="00E1115E" w:rsidRPr="00F87390" w:rsidRDefault="00E1115E" w:rsidP="00B01FEF">
            <w:pPr>
              <w:rPr>
                <w:rFonts w:ascii="Arial" w:hAnsi="Arial" w:cs="Arial"/>
                <w:b/>
                <w:bCs/>
              </w:rPr>
            </w:pPr>
          </w:p>
        </w:tc>
        <w:tc>
          <w:tcPr>
            <w:tcW w:w="1984" w:type="dxa"/>
            <w:vMerge/>
            <w:tcBorders>
              <w:top w:val="double" w:sz="6" w:space="0" w:color="auto"/>
              <w:left w:val="single" w:sz="4" w:space="0" w:color="auto"/>
              <w:bottom w:val="single" w:sz="4" w:space="0" w:color="auto"/>
              <w:right w:val="single" w:sz="4" w:space="0" w:color="auto"/>
            </w:tcBorders>
            <w:shd w:val="clear" w:color="auto" w:fill="92CDDC"/>
            <w:vAlign w:val="center"/>
            <w:hideMark/>
          </w:tcPr>
          <w:p w:rsidR="00E1115E" w:rsidRPr="00F87390" w:rsidRDefault="00E1115E" w:rsidP="00B01FEF">
            <w:pPr>
              <w:rPr>
                <w:rFonts w:ascii="Arial" w:hAnsi="Arial" w:cs="Arial"/>
                <w:b/>
                <w:bCs/>
              </w:rPr>
            </w:pPr>
          </w:p>
        </w:tc>
        <w:tc>
          <w:tcPr>
            <w:tcW w:w="1985" w:type="dxa"/>
            <w:vMerge/>
            <w:tcBorders>
              <w:top w:val="double" w:sz="6" w:space="0" w:color="auto"/>
              <w:left w:val="single" w:sz="4" w:space="0" w:color="auto"/>
              <w:bottom w:val="single" w:sz="4" w:space="0" w:color="auto"/>
              <w:right w:val="single" w:sz="4" w:space="0" w:color="auto"/>
            </w:tcBorders>
            <w:shd w:val="clear" w:color="auto" w:fill="92CDDC"/>
            <w:vAlign w:val="center"/>
            <w:hideMark/>
          </w:tcPr>
          <w:p w:rsidR="00E1115E" w:rsidRPr="00F87390" w:rsidRDefault="00E1115E" w:rsidP="00B01FEF">
            <w:pPr>
              <w:rPr>
                <w:rFonts w:ascii="Arial" w:hAnsi="Arial" w:cs="Arial"/>
                <w:b/>
                <w:bCs/>
              </w:rPr>
            </w:pPr>
          </w:p>
        </w:tc>
        <w:tc>
          <w:tcPr>
            <w:tcW w:w="1011" w:type="dxa"/>
            <w:vMerge/>
            <w:tcBorders>
              <w:top w:val="double" w:sz="6" w:space="0" w:color="auto"/>
              <w:left w:val="single" w:sz="4" w:space="0" w:color="auto"/>
              <w:bottom w:val="single" w:sz="4" w:space="0" w:color="000000"/>
              <w:right w:val="double" w:sz="6" w:space="0" w:color="auto"/>
            </w:tcBorders>
            <w:shd w:val="clear" w:color="auto" w:fill="92CDDC"/>
            <w:vAlign w:val="center"/>
            <w:hideMark/>
          </w:tcPr>
          <w:p w:rsidR="00E1115E" w:rsidRPr="00F87390" w:rsidRDefault="00E1115E" w:rsidP="00B01FEF">
            <w:pPr>
              <w:rPr>
                <w:rFonts w:ascii="Arial" w:hAnsi="Arial" w:cs="Arial"/>
                <w:b/>
                <w:bCs/>
              </w:rPr>
            </w:pPr>
          </w:p>
        </w:tc>
      </w:tr>
      <w:tr w:rsidR="00E1115E" w:rsidRPr="00F87390" w:rsidTr="00B01FEF">
        <w:trPr>
          <w:trHeight w:val="379"/>
        </w:trPr>
        <w:tc>
          <w:tcPr>
            <w:tcW w:w="680" w:type="dxa"/>
            <w:tcBorders>
              <w:top w:val="nil"/>
              <w:left w:val="double" w:sz="6" w:space="0" w:color="auto"/>
              <w:bottom w:val="single" w:sz="4" w:space="0" w:color="auto"/>
              <w:right w:val="single" w:sz="4" w:space="0" w:color="auto"/>
            </w:tcBorders>
            <w:shd w:val="clear" w:color="auto" w:fill="DAEEF3"/>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I</w:t>
            </w:r>
          </w:p>
        </w:tc>
        <w:tc>
          <w:tcPr>
            <w:tcW w:w="4849"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rPr>
                <w:rFonts w:ascii="Arial" w:hAnsi="Arial" w:cs="Arial"/>
                <w:b/>
                <w:bCs/>
              </w:rPr>
            </w:pPr>
            <w:r w:rsidRPr="00F87390">
              <w:rPr>
                <w:rFonts w:ascii="Arial" w:hAnsi="Arial" w:cs="Arial"/>
                <w:b/>
                <w:bCs/>
              </w:rPr>
              <w:t>SOPSTVENI PRIHODI</w:t>
            </w:r>
          </w:p>
        </w:tc>
        <w:tc>
          <w:tcPr>
            <w:tcW w:w="1984"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14.660.000,00 </w:t>
            </w:r>
          </w:p>
        </w:tc>
        <w:tc>
          <w:tcPr>
            <w:tcW w:w="1985"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15.745.000,00 </w:t>
            </w:r>
          </w:p>
        </w:tc>
        <w:tc>
          <w:tcPr>
            <w:tcW w:w="1011" w:type="dxa"/>
            <w:tcBorders>
              <w:top w:val="nil"/>
              <w:left w:val="nil"/>
              <w:bottom w:val="single" w:sz="4" w:space="0" w:color="auto"/>
              <w:right w:val="double" w:sz="6"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107,40 </w:t>
            </w:r>
          </w:p>
        </w:tc>
      </w:tr>
      <w:tr w:rsidR="00E1115E" w:rsidRPr="00F87390" w:rsidTr="00B01FEF">
        <w:trPr>
          <w:trHeight w:val="342"/>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1.</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ind w:right="195"/>
              <w:rPr>
                <w:rFonts w:ascii="Arial" w:hAnsi="Arial" w:cs="Arial"/>
                <w:b/>
                <w:bCs/>
              </w:rPr>
            </w:pPr>
            <w:r w:rsidRPr="00F87390">
              <w:rPr>
                <w:rFonts w:ascii="Arial" w:hAnsi="Arial" w:cs="Arial"/>
                <w:b/>
                <w:bCs/>
              </w:rPr>
              <w:t>Lokalni porezi</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7.100.000,00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10.100.000,00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 xml:space="preserve">142,25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Porez na nepokretnosti</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6.000.000,00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9.000.000,00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150,00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EA048B" w:rsidRDefault="00E1115E" w:rsidP="00B01FEF">
            <w:pPr>
              <w:spacing w:after="0"/>
              <w:rPr>
                <w:rFonts w:ascii="Arial" w:hAnsi="Arial" w:cs="Arial"/>
                <w:lang w:val="es-US"/>
              </w:rPr>
            </w:pPr>
            <w:r w:rsidRPr="00EA048B">
              <w:rPr>
                <w:rFonts w:ascii="Arial" w:hAnsi="Arial" w:cs="Arial"/>
                <w:lang w:val="es-US"/>
              </w:rPr>
              <w:t>Prirez porezu na dohodak fizičkih lica</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EA048B">
              <w:rPr>
                <w:rFonts w:ascii="Arial" w:hAnsi="Arial" w:cs="Arial"/>
                <w:lang w:val="es-US"/>
              </w:rPr>
              <w:t xml:space="preserve">      </w:t>
            </w:r>
            <w:r w:rsidRPr="00F87390">
              <w:rPr>
                <w:rFonts w:ascii="Arial" w:hAnsi="Arial" w:cs="Arial"/>
              </w:rPr>
              <w:t xml:space="preserve">1.100.000,00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1.100.000,00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100,00 </w:t>
            </w:r>
          </w:p>
        </w:tc>
      </w:tr>
      <w:tr w:rsidR="00E1115E" w:rsidRPr="00F87390" w:rsidTr="00B01FEF">
        <w:trPr>
          <w:trHeight w:val="342"/>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2.</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b/>
                <w:bCs/>
              </w:rPr>
            </w:pPr>
            <w:r w:rsidRPr="00F87390">
              <w:rPr>
                <w:rFonts w:ascii="Arial" w:hAnsi="Arial" w:cs="Arial"/>
                <w:b/>
                <w:bCs/>
              </w:rPr>
              <w:t>Takse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490.000,00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635.000,00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129,59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Lokalne administrativne takse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60.000,00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60.000,00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100,00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Lokalne komunalne takse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230.000,00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175.000,00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76,09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Turistička taksa</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200.000,00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400.000,00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200,00 </w:t>
            </w:r>
          </w:p>
        </w:tc>
      </w:tr>
      <w:tr w:rsidR="00E1115E" w:rsidRPr="00F87390" w:rsidTr="00B01FEF">
        <w:trPr>
          <w:trHeight w:val="342"/>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3.</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b/>
                <w:bCs/>
              </w:rPr>
            </w:pPr>
            <w:r w:rsidRPr="00F87390">
              <w:rPr>
                <w:rFonts w:ascii="Arial" w:hAnsi="Arial" w:cs="Arial"/>
                <w:b/>
                <w:bCs/>
              </w:rPr>
              <w:t>Naknade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4.450.000,00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3.040.000,00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68,31 </w:t>
            </w:r>
          </w:p>
        </w:tc>
      </w:tr>
      <w:tr w:rsidR="00E1115E" w:rsidRPr="00F87390" w:rsidTr="00B01FEF">
        <w:trPr>
          <w:trHeight w:val="342"/>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Naknade za komunalno opremanje građevinskog zemljišta - komunalije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3.600.000,00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2.500.000,00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69,44 </w:t>
            </w:r>
          </w:p>
        </w:tc>
      </w:tr>
      <w:tr w:rsidR="00E1115E" w:rsidRPr="00F87390" w:rsidTr="00B01FEF">
        <w:trPr>
          <w:trHeight w:val="675"/>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EA048B" w:rsidRDefault="00E1115E" w:rsidP="00B01FEF">
            <w:pPr>
              <w:spacing w:after="0"/>
              <w:rPr>
                <w:rFonts w:ascii="Arial" w:hAnsi="Arial" w:cs="Arial"/>
                <w:lang w:val="es-US"/>
              </w:rPr>
            </w:pPr>
            <w:r w:rsidRPr="00EA048B">
              <w:rPr>
                <w:rFonts w:ascii="Arial" w:hAnsi="Arial" w:cs="Arial"/>
                <w:lang w:val="es-US"/>
              </w:rPr>
              <w:t>Naknada od urbane sanacije i drugih izvora prihoda u skladu sa zakonom</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EA048B">
              <w:rPr>
                <w:rFonts w:ascii="Arial" w:hAnsi="Arial" w:cs="Arial"/>
                <w:lang w:val="es-US"/>
              </w:rPr>
              <w:t xml:space="preserve">         </w:t>
            </w:r>
            <w:r w:rsidRPr="00F87390">
              <w:rPr>
                <w:rFonts w:ascii="Arial" w:hAnsi="Arial" w:cs="Arial"/>
              </w:rPr>
              <w:t xml:space="preserve">300.000,00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33,33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Posebna naknada na investicije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70.000,00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70,00 </w:t>
            </w:r>
          </w:p>
        </w:tc>
      </w:tr>
      <w:tr w:rsidR="00E1115E" w:rsidRPr="00F87390" w:rsidTr="00B01FEF">
        <w:trPr>
          <w:trHeight w:val="660"/>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Naknada za komunalno opremanje i zakup građevinskog zemljišta - privremeni objekti</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200.000,00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200.000,00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100,00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rPr>
            </w:pPr>
            <w:r w:rsidRPr="00F87390">
              <w:rPr>
                <w:rFonts w:ascii="Arial" w:hAnsi="Arial" w:cs="Arial"/>
              </w:rPr>
              <w:t>-</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Naknade za puteve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250.000,00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170.000,00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68,00 </w:t>
            </w:r>
          </w:p>
        </w:tc>
      </w:tr>
      <w:tr w:rsidR="00E1115E" w:rsidRPr="00F87390" w:rsidTr="00B01FEF">
        <w:trPr>
          <w:trHeight w:val="342"/>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4.</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b/>
                <w:bCs/>
              </w:rPr>
            </w:pPr>
            <w:r w:rsidRPr="00F87390">
              <w:rPr>
                <w:rFonts w:ascii="Arial" w:hAnsi="Arial" w:cs="Arial"/>
                <w:b/>
                <w:bCs/>
              </w:rPr>
              <w:t>Ostali prihodi</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320.000,00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470.000,00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146,88 </w:t>
            </w:r>
          </w:p>
        </w:tc>
      </w:tr>
      <w:tr w:rsidR="00E1115E" w:rsidRPr="00F87390" w:rsidTr="00B01FEF">
        <w:trPr>
          <w:trHeight w:val="342"/>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5.</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b/>
                <w:bCs/>
              </w:rPr>
            </w:pPr>
            <w:r w:rsidRPr="00F87390">
              <w:rPr>
                <w:rFonts w:ascii="Arial" w:hAnsi="Arial" w:cs="Arial"/>
                <w:b/>
                <w:bCs/>
              </w:rPr>
              <w:t>Prihodi od prodaje nefinansijske imovine</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2.300.000,00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1.500.000,00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65,22 </w:t>
            </w:r>
          </w:p>
        </w:tc>
      </w:tr>
      <w:tr w:rsidR="00E1115E" w:rsidRPr="00F87390" w:rsidTr="00B01FEF">
        <w:trPr>
          <w:trHeight w:val="379"/>
        </w:trPr>
        <w:tc>
          <w:tcPr>
            <w:tcW w:w="680" w:type="dxa"/>
            <w:tcBorders>
              <w:top w:val="nil"/>
              <w:left w:val="double" w:sz="6" w:space="0" w:color="auto"/>
              <w:bottom w:val="single" w:sz="4" w:space="0" w:color="auto"/>
              <w:right w:val="single" w:sz="4" w:space="0" w:color="auto"/>
            </w:tcBorders>
            <w:shd w:val="clear" w:color="auto" w:fill="DAEEF3"/>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II</w:t>
            </w:r>
          </w:p>
        </w:tc>
        <w:tc>
          <w:tcPr>
            <w:tcW w:w="4849"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rPr>
                <w:rFonts w:ascii="Arial" w:hAnsi="Arial" w:cs="Arial"/>
                <w:b/>
                <w:bCs/>
              </w:rPr>
            </w:pPr>
            <w:r w:rsidRPr="00F87390">
              <w:rPr>
                <w:rFonts w:ascii="Arial" w:hAnsi="Arial" w:cs="Arial"/>
                <w:b/>
                <w:bCs/>
              </w:rPr>
              <w:t>USTUPLJENI PRIHODI</w:t>
            </w:r>
          </w:p>
        </w:tc>
        <w:tc>
          <w:tcPr>
            <w:tcW w:w="1984"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3.630.000,00 </w:t>
            </w:r>
          </w:p>
        </w:tc>
        <w:tc>
          <w:tcPr>
            <w:tcW w:w="1985"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3.680.000,00 </w:t>
            </w:r>
          </w:p>
        </w:tc>
        <w:tc>
          <w:tcPr>
            <w:tcW w:w="1011" w:type="dxa"/>
            <w:tcBorders>
              <w:top w:val="nil"/>
              <w:left w:val="nil"/>
              <w:bottom w:val="single" w:sz="4" w:space="0" w:color="auto"/>
              <w:right w:val="double" w:sz="6"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101,38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rPr>
            </w:pPr>
            <w:r w:rsidRPr="00F87390">
              <w:rPr>
                <w:rFonts w:ascii="Arial" w:hAnsi="Arial" w:cs="Arial"/>
                <w:b/>
              </w:rPr>
              <w:t>6.</w:t>
            </w:r>
          </w:p>
        </w:tc>
        <w:tc>
          <w:tcPr>
            <w:tcW w:w="4849" w:type="dxa"/>
            <w:tcBorders>
              <w:top w:val="nil"/>
              <w:left w:val="nil"/>
              <w:bottom w:val="single" w:sz="4" w:space="0" w:color="auto"/>
              <w:right w:val="single" w:sz="4" w:space="0" w:color="auto"/>
            </w:tcBorders>
            <w:shd w:val="clear" w:color="auto" w:fill="auto"/>
            <w:vAlign w:val="center"/>
            <w:hideMark/>
          </w:tcPr>
          <w:p w:rsidR="00E1115E" w:rsidRPr="00EA048B" w:rsidRDefault="00E1115E" w:rsidP="00B01FEF">
            <w:pPr>
              <w:spacing w:after="0"/>
              <w:rPr>
                <w:rFonts w:ascii="Arial" w:hAnsi="Arial" w:cs="Arial"/>
                <w:lang w:val="es-US"/>
              </w:rPr>
            </w:pPr>
            <w:r w:rsidRPr="00EA048B">
              <w:rPr>
                <w:rFonts w:ascii="Arial" w:hAnsi="Arial" w:cs="Arial"/>
                <w:lang w:val="es-US"/>
              </w:rPr>
              <w:t>Porez na dohodak fizičkih lica</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EA048B">
              <w:rPr>
                <w:rFonts w:ascii="Arial" w:hAnsi="Arial" w:cs="Arial"/>
                <w:lang w:val="es-US"/>
              </w:rPr>
              <w:t xml:space="preserve">      </w:t>
            </w:r>
            <w:r w:rsidRPr="00F87390">
              <w:rPr>
                <w:rFonts w:ascii="Arial" w:hAnsi="Arial" w:cs="Arial"/>
              </w:rPr>
              <w:t xml:space="preserve">1.100.000,00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1.100.000,00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100,00 </w:t>
            </w:r>
          </w:p>
        </w:tc>
      </w:tr>
      <w:tr w:rsidR="00E1115E" w:rsidRPr="00F87390" w:rsidTr="00893ECD">
        <w:trPr>
          <w:trHeight w:hRule="exact" w:val="284"/>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rPr>
            </w:pPr>
            <w:r w:rsidRPr="00F87390">
              <w:rPr>
                <w:rFonts w:ascii="Arial" w:hAnsi="Arial" w:cs="Arial"/>
                <w:b/>
              </w:rPr>
              <w:t>7.</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Porez na promet nepokretnosti</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1.650.000,00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1.700.000,00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103,03 </w:t>
            </w:r>
          </w:p>
        </w:tc>
      </w:tr>
      <w:tr w:rsidR="00E1115E" w:rsidRPr="00F87390" w:rsidTr="00B01FEF">
        <w:trPr>
          <w:trHeight w:hRule="exact" w:val="567"/>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rPr>
            </w:pPr>
            <w:r w:rsidRPr="00F87390">
              <w:rPr>
                <w:rFonts w:ascii="Arial" w:hAnsi="Arial" w:cs="Arial"/>
                <w:b/>
              </w:rPr>
              <w:t>8.</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Koncesione i druge naknade za korištenje prirodnih dobara koje dodjeljuje Država</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700.000,00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700.000,00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100,00 </w:t>
            </w:r>
          </w:p>
        </w:tc>
      </w:tr>
      <w:tr w:rsidR="00E1115E" w:rsidRPr="00F87390" w:rsidTr="00B01FEF">
        <w:trPr>
          <w:trHeight w:hRule="exact" w:val="567"/>
        </w:trPr>
        <w:tc>
          <w:tcPr>
            <w:tcW w:w="680" w:type="dxa"/>
            <w:tcBorders>
              <w:top w:val="nil"/>
              <w:left w:val="double" w:sz="6" w:space="0" w:color="auto"/>
              <w:bottom w:val="single" w:sz="4" w:space="0" w:color="auto"/>
              <w:right w:val="single" w:sz="4" w:space="0" w:color="auto"/>
            </w:tcBorders>
            <w:shd w:val="clear" w:color="auto" w:fill="auto"/>
            <w:vAlign w:val="center"/>
            <w:hideMark/>
          </w:tcPr>
          <w:p w:rsidR="00E1115E" w:rsidRPr="00F87390" w:rsidRDefault="00E1115E" w:rsidP="00B01FEF">
            <w:pPr>
              <w:spacing w:after="0"/>
              <w:jc w:val="center"/>
              <w:rPr>
                <w:rFonts w:ascii="Arial" w:hAnsi="Arial" w:cs="Arial"/>
                <w:b/>
              </w:rPr>
            </w:pPr>
            <w:r w:rsidRPr="00F87390">
              <w:rPr>
                <w:rFonts w:ascii="Arial" w:hAnsi="Arial" w:cs="Arial"/>
                <w:b/>
              </w:rPr>
              <w:t>9.</w:t>
            </w:r>
          </w:p>
        </w:tc>
        <w:tc>
          <w:tcPr>
            <w:tcW w:w="4849"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rPr>
                <w:rFonts w:ascii="Arial" w:hAnsi="Arial" w:cs="Arial"/>
              </w:rPr>
            </w:pPr>
            <w:r w:rsidRPr="00F87390">
              <w:rPr>
                <w:rFonts w:ascii="Arial" w:hAnsi="Arial" w:cs="Arial"/>
              </w:rPr>
              <w:t>Godišnja naknada pri registraciji drumskih i motornih vozila</w:t>
            </w:r>
          </w:p>
        </w:tc>
        <w:tc>
          <w:tcPr>
            <w:tcW w:w="1984"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180.000,00 </w:t>
            </w:r>
          </w:p>
        </w:tc>
        <w:tc>
          <w:tcPr>
            <w:tcW w:w="1985" w:type="dxa"/>
            <w:tcBorders>
              <w:top w:val="nil"/>
              <w:left w:val="nil"/>
              <w:bottom w:val="single" w:sz="4" w:space="0" w:color="auto"/>
              <w:right w:val="single" w:sz="4" w:space="0" w:color="auto"/>
            </w:tcBorders>
            <w:shd w:val="clear" w:color="auto" w:fill="auto"/>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          180.000,00 </w:t>
            </w:r>
          </w:p>
        </w:tc>
        <w:tc>
          <w:tcPr>
            <w:tcW w:w="1011" w:type="dxa"/>
            <w:tcBorders>
              <w:top w:val="nil"/>
              <w:left w:val="nil"/>
              <w:bottom w:val="single" w:sz="4" w:space="0" w:color="auto"/>
              <w:right w:val="double" w:sz="6" w:space="0" w:color="auto"/>
            </w:tcBorders>
            <w:shd w:val="clear" w:color="000000" w:fill="FFFFFF"/>
            <w:vAlign w:val="center"/>
            <w:hideMark/>
          </w:tcPr>
          <w:p w:rsidR="00E1115E" w:rsidRPr="00F87390" w:rsidRDefault="00E1115E" w:rsidP="00B01FEF">
            <w:pPr>
              <w:spacing w:after="0"/>
              <w:jc w:val="right"/>
              <w:rPr>
                <w:rFonts w:ascii="Arial" w:hAnsi="Arial" w:cs="Arial"/>
              </w:rPr>
            </w:pPr>
            <w:r w:rsidRPr="00F87390">
              <w:rPr>
                <w:rFonts w:ascii="Arial" w:hAnsi="Arial" w:cs="Arial"/>
              </w:rPr>
              <w:t xml:space="preserve">100,00 </w:t>
            </w:r>
          </w:p>
        </w:tc>
      </w:tr>
      <w:tr w:rsidR="00E1115E" w:rsidRPr="00F87390" w:rsidTr="00B01FEF">
        <w:trPr>
          <w:trHeight w:hRule="exact" w:val="454"/>
        </w:trPr>
        <w:tc>
          <w:tcPr>
            <w:tcW w:w="680" w:type="dxa"/>
            <w:tcBorders>
              <w:top w:val="nil"/>
              <w:left w:val="double" w:sz="6" w:space="0" w:color="auto"/>
              <w:bottom w:val="single" w:sz="4" w:space="0" w:color="auto"/>
              <w:right w:val="single" w:sz="4" w:space="0" w:color="auto"/>
            </w:tcBorders>
            <w:shd w:val="clear" w:color="auto" w:fill="DAEEF3"/>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III</w:t>
            </w:r>
          </w:p>
        </w:tc>
        <w:tc>
          <w:tcPr>
            <w:tcW w:w="4849" w:type="dxa"/>
            <w:tcBorders>
              <w:top w:val="nil"/>
              <w:left w:val="nil"/>
              <w:bottom w:val="single" w:sz="4" w:space="0" w:color="auto"/>
              <w:right w:val="single" w:sz="4" w:space="0" w:color="auto"/>
            </w:tcBorders>
            <w:shd w:val="clear" w:color="auto" w:fill="DAEEF3"/>
            <w:vAlign w:val="center"/>
            <w:hideMark/>
          </w:tcPr>
          <w:p w:rsidR="00E1115E" w:rsidRPr="00EA048B" w:rsidRDefault="00E1115E" w:rsidP="00B01FEF">
            <w:pPr>
              <w:spacing w:after="0"/>
              <w:rPr>
                <w:rFonts w:ascii="Arial" w:hAnsi="Arial" w:cs="Arial"/>
                <w:b/>
                <w:bCs/>
                <w:lang w:val="es-US"/>
              </w:rPr>
            </w:pPr>
            <w:r w:rsidRPr="00EA048B">
              <w:rPr>
                <w:rFonts w:ascii="Arial" w:hAnsi="Arial" w:cs="Arial"/>
                <w:b/>
                <w:bCs/>
                <w:lang w:val="es-US"/>
              </w:rPr>
              <w:t>SREDSTVA PRENESENA IZ PRET. GODINE</w:t>
            </w:r>
          </w:p>
        </w:tc>
        <w:tc>
          <w:tcPr>
            <w:tcW w:w="1984"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1.500.000,00</w:t>
            </w:r>
          </w:p>
        </w:tc>
        <w:tc>
          <w:tcPr>
            <w:tcW w:w="1985" w:type="dxa"/>
            <w:tcBorders>
              <w:top w:val="nil"/>
              <w:left w:val="nil"/>
              <w:bottom w:val="single" w:sz="4" w:space="0" w:color="auto"/>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2.165.000,00</w:t>
            </w:r>
          </w:p>
        </w:tc>
        <w:tc>
          <w:tcPr>
            <w:tcW w:w="1011" w:type="dxa"/>
            <w:tcBorders>
              <w:top w:val="nil"/>
              <w:left w:val="nil"/>
              <w:bottom w:val="single" w:sz="4" w:space="0" w:color="auto"/>
              <w:right w:val="double" w:sz="6"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144,33 </w:t>
            </w:r>
          </w:p>
        </w:tc>
      </w:tr>
      <w:tr w:rsidR="00E1115E" w:rsidRPr="00F87390" w:rsidTr="00B01FEF">
        <w:trPr>
          <w:trHeight w:hRule="exact" w:val="454"/>
        </w:trPr>
        <w:tc>
          <w:tcPr>
            <w:tcW w:w="680" w:type="dxa"/>
            <w:tcBorders>
              <w:top w:val="nil"/>
              <w:left w:val="double" w:sz="6" w:space="0" w:color="auto"/>
              <w:bottom w:val="nil"/>
              <w:right w:val="single" w:sz="4" w:space="0" w:color="auto"/>
            </w:tcBorders>
            <w:shd w:val="clear" w:color="auto" w:fill="DAEEF3"/>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IV</w:t>
            </w:r>
          </w:p>
        </w:tc>
        <w:tc>
          <w:tcPr>
            <w:tcW w:w="4849" w:type="dxa"/>
            <w:tcBorders>
              <w:top w:val="nil"/>
              <w:left w:val="nil"/>
              <w:bottom w:val="nil"/>
              <w:right w:val="single" w:sz="4" w:space="0" w:color="auto"/>
            </w:tcBorders>
            <w:shd w:val="clear" w:color="auto" w:fill="DAEEF3"/>
            <w:vAlign w:val="center"/>
            <w:hideMark/>
          </w:tcPr>
          <w:p w:rsidR="00E1115E" w:rsidRPr="00F87390" w:rsidRDefault="00E1115E" w:rsidP="00B01FEF">
            <w:pPr>
              <w:spacing w:after="0"/>
              <w:rPr>
                <w:rFonts w:ascii="Arial" w:hAnsi="Arial" w:cs="Arial"/>
                <w:b/>
                <w:bCs/>
              </w:rPr>
            </w:pPr>
            <w:r w:rsidRPr="00F87390">
              <w:rPr>
                <w:rFonts w:ascii="Arial" w:hAnsi="Arial" w:cs="Arial"/>
                <w:b/>
                <w:bCs/>
              </w:rPr>
              <w:t>DONACIJE</w:t>
            </w:r>
          </w:p>
        </w:tc>
        <w:tc>
          <w:tcPr>
            <w:tcW w:w="1984" w:type="dxa"/>
            <w:tcBorders>
              <w:top w:val="nil"/>
              <w:left w:val="nil"/>
              <w:bottom w:val="nil"/>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210.000,00</w:t>
            </w:r>
          </w:p>
        </w:tc>
        <w:tc>
          <w:tcPr>
            <w:tcW w:w="1985" w:type="dxa"/>
            <w:tcBorders>
              <w:top w:val="nil"/>
              <w:left w:val="nil"/>
              <w:bottom w:val="nil"/>
              <w:right w:val="single" w:sz="4"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210.000,00</w:t>
            </w:r>
          </w:p>
        </w:tc>
        <w:tc>
          <w:tcPr>
            <w:tcW w:w="1011" w:type="dxa"/>
            <w:tcBorders>
              <w:top w:val="nil"/>
              <w:left w:val="nil"/>
              <w:bottom w:val="nil"/>
              <w:right w:val="double" w:sz="6" w:space="0" w:color="auto"/>
            </w:tcBorders>
            <w:shd w:val="clear" w:color="auto" w:fill="DAEEF3"/>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100,00 </w:t>
            </w:r>
          </w:p>
        </w:tc>
      </w:tr>
      <w:tr w:rsidR="00E1115E" w:rsidRPr="00F87390" w:rsidTr="00B01FEF">
        <w:trPr>
          <w:trHeight w:val="405"/>
        </w:trPr>
        <w:tc>
          <w:tcPr>
            <w:tcW w:w="680" w:type="dxa"/>
            <w:tcBorders>
              <w:top w:val="single" w:sz="4" w:space="0" w:color="auto"/>
              <w:left w:val="double" w:sz="6" w:space="0" w:color="auto"/>
              <w:bottom w:val="double" w:sz="6" w:space="0" w:color="auto"/>
              <w:right w:val="single" w:sz="4" w:space="0" w:color="auto"/>
            </w:tcBorders>
            <w:shd w:val="clear" w:color="auto" w:fill="92CDDC"/>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 </w:t>
            </w:r>
          </w:p>
        </w:tc>
        <w:tc>
          <w:tcPr>
            <w:tcW w:w="4849" w:type="dxa"/>
            <w:tcBorders>
              <w:top w:val="single" w:sz="4" w:space="0" w:color="auto"/>
              <w:left w:val="nil"/>
              <w:bottom w:val="double" w:sz="6" w:space="0" w:color="auto"/>
              <w:right w:val="single" w:sz="4" w:space="0" w:color="auto"/>
            </w:tcBorders>
            <w:shd w:val="clear" w:color="auto" w:fill="92CDDC"/>
            <w:vAlign w:val="center"/>
            <w:hideMark/>
          </w:tcPr>
          <w:p w:rsidR="00E1115E" w:rsidRPr="00F87390" w:rsidRDefault="00E1115E" w:rsidP="00B01FEF">
            <w:pPr>
              <w:spacing w:after="0"/>
              <w:jc w:val="center"/>
              <w:rPr>
                <w:rFonts w:ascii="Arial" w:hAnsi="Arial" w:cs="Arial"/>
                <w:b/>
                <w:bCs/>
              </w:rPr>
            </w:pPr>
            <w:r w:rsidRPr="00F87390">
              <w:rPr>
                <w:rFonts w:ascii="Arial" w:hAnsi="Arial" w:cs="Arial"/>
                <w:b/>
                <w:bCs/>
              </w:rPr>
              <w:t>UKUPNI PRIMICI ( I + II +III + IV) :</w:t>
            </w:r>
          </w:p>
        </w:tc>
        <w:tc>
          <w:tcPr>
            <w:tcW w:w="1984" w:type="dxa"/>
            <w:tcBorders>
              <w:top w:val="single" w:sz="4" w:space="0" w:color="auto"/>
              <w:left w:val="nil"/>
              <w:bottom w:val="double" w:sz="6" w:space="0" w:color="auto"/>
              <w:right w:val="single" w:sz="4" w:space="0" w:color="auto"/>
            </w:tcBorders>
            <w:shd w:val="clear" w:color="auto" w:fill="92CDDC"/>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20.000.000,00 </w:t>
            </w:r>
          </w:p>
        </w:tc>
        <w:tc>
          <w:tcPr>
            <w:tcW w:w="1985" w:type="dxa"/>
            <w:tcBorders>
              <w:top w:val="single" w:sz="4" w:space="0" w:color="auto"/>
              <w:left w:val="nil"/>
              <w:bottom w:val="double" w:sz="6" w:space="0" w:color="auto"/>
              <w:right w:val="single" w:sz="4" w:space="0" w:color="auto"/>
            </w:tcBorders>
            <w:shd w:val="clear" w:color="auto" w:fill="92CDDC"/>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     21.800.000,00 </w:t>
            </w:r>
          </w:p>
        </w:tc>
        <w:tc>
          <w:tcPr>
            <w:tcW w:w="1011" w:type="dxa"/>
            <w:tcBorders>
              <w:top w:val="single" w:sz="4" w:space="0" w:color="auto"/>
              <w:left w:val="nil"/>
              <w:bottom w:val="double" w:sz="6" w:space="0" w:color="auto"/>
              <w:right w:val="double" w:sz="6" w:space="0" w:color="auto"/>
            </w:tcBorders>
            <w:shd w:val="clear" w:color="auto" w:fill="92CDDC"/>
            <w:vAlign w:val="center"/>
            <w:hideMark/>
          </w:tcPr>
          <w:p w:rsidR="00E1115E" w:rsidRPr="00F87390" w:rsidRDefault="00E1115E" w:rsidP="00B01FEF">
            <w:pPr>
              <w:spacing w:after="0"/>
              <w:jc w:val="right"/>
              <w:rPr>
                <w:rFonts w:ascii="Arial" w:hAnsi="Arial" w:cs="Arial"/>
                <w:b/>
                <w:bCs/>
              </w:rPr>
            </w:pPr>
            <w:r w:rsidRPr="00F87390">
              <w:rPr>
                <w:rFonts w:ascii="Arial" w:hAnsi="Arial" w:cs="Arial"/>
                <w:b/>
                <w:bCs/>
              </w:rPr>
              <w:t xml:space="preserve">109,00 </w:t>
            </w:r>
          </w:p>
        </w:tc>
      </w:tr>
    </w:tbl>
    <w:p w:rsidR="00E1115E" w:rsidRDefault="00E1115E" w:rsidP="00B01FEF">
      <w:pPr>
        <w:spacing w:after="0"/>
        <w:jc w:val="both"/>
        <w:rPr>
          <w:rFonts w:ascii="Arial" w:hAnsi="Arial" w:cs="Arial"/>
          <w:b/>
        </w:rPr>
      </w:pPr>
    </w:p>
    <w:p w:rsidR="00893ECD" w:rsidRDefault="00893ECD" w:rsidP="00B01FEF">
      <w:pPr>
        <w:spacing w:after="0"/>
        <w:jc w:val="both"/>
        <w:rPr>
          <w:rFonts w:ascii="Arial" w:hAnsi="Arial" w:cs="Arial"/>
          <w:b/>
        </w:rPr>
      </w:pPr>
    </w:p>
    <w:p w:rsidR="00893ECD" w:rsidRDefault="00893ECD" w:rsidP="00B01FEF">
      <w:pPr>
        <w:spacing w:after="0"/>
        <w:jc w:val="both"/>
        <w:rPr>
          <w:rFonts w:ascii="Arial" w:hAnsi="Arial" w:cs="Arial"/>
          <w:b/>
        </w:rPr>
      </w:pPr>
    </w:p>
    <w:p w:rsidR="00E1115E" w:rsidRPr="00F87390" w:rsidRDefault="00E1115E" w:rsidP="00E1115E">
      <w:pPr>
        <w:jc w:val="both"/>
        <w:rPr>
          <w:rFonts w:ascii="Arial" w:hAnsi="Arial" w:cs="Arial"/>
          <w:b/>
        </w:rPr>
      </w:pPr>
    </w:p>
    <w:p w:rsidR="00E1115E" w:rsidRPr="000C0023" w:rsidRDefault="00E1115E" w:rsidP="00E1115E">
      <w:pPr>
        <w:jc w:val="both"/>
        <w:rPr>
          <w:rFonts w:ascii="Arial" w:hAnsi="Arial" w:cs="Arial"/>
          <w:b/>
          <w:sz w:val="24"/>
          <w:szCs w:val="24"/>
          <w:u w:val="single"/>
        </w:rPr>
      </w:pPr>
      <w:r w:rsidRPr="000C0023">
        <w:rPr>
          <w:rFonts w:ascii="Arial" w:hAnsi="Arial" w:cs="Arial"/>
          <w:b/>
          <w:sz w:val="24"/>
          <w:szCs w:val="24"/>
          <w:u w:val="single"/>
        </w:rPr>
        <w:lastRenderedPageBreak/>
        <w:t>SOPSTVENI PRIHODI</w:t>
      </w:r>
    </w:p>
    <w:p w:rsidR="00E1115E" w:rsidRPr="00EA048B" w:rsidRDefault="00E1115E" w:rsidP="000C0023">
      <w:pPr>
        <w:spacing w:after="0"/>
        <w:jc w:val="both"/>
        <w:rPr>
          <w:rFonts w:ascii="Arial" w:hAnsi="Arial" w:cs="Arial"/>
          <w:sz w:val="24"/>
          <w:szCs w:val="24"/>
          <w:lang w:val="es-US"/>
        </w:rPr>
      </w:pPr>
      <w:r w:rsidRPr="00EA048B">
        <w:rPr>
          <w:rFonts w:ascii="Arial" w:hAnsi="Arial" w:cs="Arial"/>
          <w:sz w:val="24"/>
          <w:szCs w:val="24"/>
          <w:lang w:val="es-US"/>
        </w:rPr>
        <w:t>Veća procjena sopstvenih prihoda po Rebalansu u odnosu na plan po Budžetu urađena je kod:</w:t>
      </w:r>
    </w:p>
    <w:p w:rsidR="00E1115E" w:rsidRPr="00EA048B" w:rsidRDefault="00E1115E" w:rsidP="000C0023">
      <w:pPr>
        <w:numPr>
          <w:ilvl w:val="1"/>
          <w:numId w:val="4"/>
        </w:numPr>
        <w:spacing w:after="0" w:line="240" w:lineRule="auto"/>
        <w:jc w:val="both"/>
        <w:rPr>
          <w:rFonts w:ascii="Arial" w:hAnsi="Arial" w:cs="Arial"/>
          <w:b/>
          <w:sz w:val="24"/>
          <w:szCs w:val="24"/>
          <w:lang w:val="es-US"/>
        </w:rPr>
      </w:pPr>
      <w:r w:rsidRPr="00EA048B">
        <w:rPr>
          <w:rFonts w:ascii="Arial" w:hAnsi="Arial" w:cs="Arial"/>
          <w:b/>
          <w:sz w:val="24"/>
          <w:szCs w:val="24"/>
          <w:lang w:val="es-US"/>
        </w:rPr>
        <w:t>Poreza na nepokretnosti</w:t>
      </w:r>
      <w:r w:rsidRPr="00EA048B">
        <w:rPr>
          <w:rFonts w:ascii="Arial" w:hAnsi="Arial" w:cs="Arial"/>
          <w:sz w:val="24"/>
          <w:szCs w:val="24"/>
          <w:lang w:val="es-US"/>
        </w:rPr>
        <w:t xml:space="preserve"> – koji je po Rebalansu planiran u iznosu od </w:t>
      </w:r>
      <w:r w:rsidR="00893ECD" w:rsidRPr="00EA048B">
        <w:rPr>
          <w:rFonts w:ascii="Arial" w:hAnsi="Arial" w:cs="Arial"/>
          <w:sz w:val="24"/>
          <w:szCs w:val="24"/>
          <w:lang w:val="es-US"/>
        </w:rPr>
        <w:t xml:space="preserve"> </w:t>
      </w:r>
      <w:r w:rsidRPr="00EA048B">
        <w:rPr>
          <w:rFonts w:ascii="Arial" w:hAnsi="Arial" w:cs="Arial"/>
          <w:sz w:val="24"/>
          <w:szCs w:val="24"/>
          <w:lang w:val="es-US"/>
        </w:rPr>
        <w:t>9.000.000,00 € odnosno više za 50,00% u odnosu na plan po Budžetu ili u apsolutnom iznosu više za 3.000.000,00 €.</w:t>
      </w:r>
    </w:p>
    <w:p w:rsidR="00E1115E" w:rsidRPr="00EA048B" w:rsidRDefault="00E1115E" w:rsidP="000C0023">
      <w:pPr>
        <w:spacing w:after="0"/>
        <w:ind w:left="1440"/>
        <w:jc w:val="both"/>
        <w:rPr>
          <w:rFonts w:ascii="Arial" w:hAnsi="Arial" w:cs="Arial"/>
          <w:sz w:val="24"/>
          <w:szCs w:val="24"/>
          <w:lang w:val="es-US"/>
        </w:rPr>
      </w:pPr>
      <w:r w:rsidRPr="00EA048B">
        <w:rPr>
          <w:rFonts w:ascii="Arial" w:hAnsi="Arial" w:cs="Arial"/>
          <w:sz w:val="24"/>
          <w:szCs w:val="24"/>
          <w:lang w:val="es-US"/>
        </w:rPr>
        <w:t xml:space="preserve">Za prvih devet mjeseci tekuće godine ostvarenje ovog prihoda veće je za 18,53% u odnosu na plan po Budžetu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iz razloga što je značajan broj nerezidenata izmirio svoje poreske obaveze, ali i zbog prelaska na novi program za administriranje poreza, kao i uvođenja servisa elektronskog plaćanja. Takođe, značajna sredstva obezbijeđena su naplatom potraživanja iz prethodnog perioda, što je sve uticalo na povećanje naplate ovog prihoda.</w:t>
      </w:r>
    </w:p>
    <w:p w:rsidR="000C0023" w:rsidRPr="00EA048B" w:rsidRDefault="000C0023" w:rsidP="000C0023">
      <w:pPr>
        <w:spacing w:after="0"/>
        <w:ind w:left="1440"/>
        <w:jc w:val="both"/>
        <w:rPr>
          <w:rFonts w:ascii="Arial" w:hAnsi="Arial" w:cs="Arial"/>
          <w:b/>
          <w:sz w:val="12"/>
          <w:szCs w:val="12"/>
          <w:lang w:val="es-US"/>
        </w:rPr>
      </w:pPr>
    </w:p>
    <w:p w:rsidR="00E1115E" w:rsidRPr="00EA048B" w:rsidRDefault="00E1115E" w:rsidP="00E1115E">
      <w:pPr>
        <w:pStyle w:val="Default"/>
        <w:numPr>
          <w:ilvl w:val="1"/>
          <w:numId w:val="4"/>
        </w:numPr>
        <w:jc w:val="both"/>
        <w:rPr>
          <w:rFonts w:ascii="Arial" w:hAnsi="Arial" w:cs="Arial"/>
          <w:b/>
          <w:lang w:val="es-US"/>
        </w:rPr>
      </w:pPr>
      <w:r w:rsidRPr="00EA048B">
        <w:rPr>
          <w:rFonts w:ascii="Arial" w:hAnsi="Arial" w:cs="Arial"/>
          <w:b/>
          <w:lang w:val="es-US"/>
        </w:rPr>
        <w:t>Turističke takse</w:t>
      </w:r>
      <w:r w:rsidRPr="00EA048B">
        <w:rPr>
          <w:rFonts w:ascii="Arial" w:hAnsi="Arial" w:cs="Arial"/>
          <w:lang w:val="es-US"/>
        </w:rPr>
        <w:t xml:space="preserve"> koja je planirana u iznosu od 400.000,00 €, odnosno za 100,00% više u odnosu na plan.</w:t>
      </w:r>
      <w:r w:rsidRPr="00EA048B">
        <w:rPr>
          <w:rFonts w:ascii="Arial" w:hAnsi="Arial" w:cs="Arial"/>
          <w:b/>
          <w:lang w:val="es-US"/>
        </w:rPr>
        <w:t xml:space="preserve"> </w:t>
      </w:r>
      <w:r w:rsidRPr="00EA048B">
        <w:rPr>
          <w:rFonts w:ascii="Arial" w:hAnsi="Arial" w:cs="Arial"/>
          <w:lang w:val="es-US"/>
        </w:rPr>
        <w:t>Za prvih devet mjeseci ostvarenje ovog prihoda veće je za 72,99% u odnosu na plan po Budžetu za 2021. godinu, iz razloga što je značajan broj nerezidenata izmirio svoje taksene obaveze.</w:t>
      </w:r>
    </w:p>
    <w:p w:rsidR="00E1115E" w:rsidRPr="00EA048B" w:rsidRDefault="00E1115E" w:rsidP="00E1115E">
      <w:pPr>
        <w:pStyle w:val="ListParagraph"/>
        <w:rPr>
          <w:rFonts w:ascii="Arial" w:hAnsi="Arial" w:cs="Arial"/>
          <w:b/>
          <w:sz w:val="12"/>
          <w:szCs w:val="12"/>
          <w:lang w:val="es-US"/>
        </w:rPr>
      </w:pPr>
    </w:p>
    <w:p w:rsidR="00E1115E" w:rsidRPr="00EA048B" w:rsidRDefault="00E1115E" w:rsidP="00E1115E">
      <w:pPr>
        <w:pStyle w:val="Default"/>
        <w:numPr>
          <w:ilvl w:val="1"/>
          <w:numId w:val="4"/>
        </w:numPr>
        <w:jc w:val="both"/>
        <w:rPr>
          <w:rFonts w:ascii="Arial" w:hAnsi="Arial" w:cs="Arial"/>
          <w:b/>
          <w:lang w:val="es-US"/>
        </w:rPr>
      </w:pPr>
      <w:r w:rsidRPr="00EA048B">
        <w:rPr>
          <w:rFonts w:ascii="Arial" w:hAnsi="Arial" w:cs="Arial"/>
          <w:b/>
          <w:lang w:val="es-US"/>
        </w:rPr>
        <w:t xml:space="preserve">Ostalih prihoda - </w:t>
      </w:r>
      <w:r w:rsidRPr="00EA048B">
        <w:rPr>
          <w:rFonts w:ascii="Arial" w:hAnsi="Arial" w:cs="Arial"/>
          <w:lang w:val="es-US"/>
        </w:rPr>
        <w:t>koji su po Rebalansu planirani u iznosu od 470.000,00 €, odnosno više za 46,88% u odnosu na plan ili u apsolutnom iznosu više za 150.000,00 €. Na povećanje plana uticalo je bolje ostvarenje prihoda po osnovu novčanih kazni i oduzetih imovinskih koristi, kao i ostalih opštinskih prihoda.</w:t>
      </w:r>
    </w:p>
    <w:p w:rsidR="00E1115E" w:rsidRPr="00EA048B" w:rsidRDefault="00E1115E" w:rsidP="00E1115E">
      <w:pPr>
        <w:pStyle w:val="Default"/>
        <w:jc w:val="both"/>
        <w:rPr>
          <w:rFonts w:ascii="Arial" w:hAnsi="Arial" w:cs="Arial"/>
          <w:b/>
          <w:sz w:val="12"/>
          <w:szCs w:val="12"/>
          <w:lang w:val="es-US"/>
        </w:rPr>
      </w:pPr>
    </w:p>
    <w:p w:rsidR="00E1115E" w:rsidRPr="00EA048B" w:rsidRDefault="00E1115E" w:rsidP="00E1115E">
      <w:pPr>
        <w:pStyle w:val="Default"/>
        <w:jc w:val="both"/>
        <w:rPr>
          <w:rFonts w:ascii="Arial" w:hAnsi="Arial" w:cs="Arial"/>
          <w:lang w:val="es-US"/>
        </w:rPr>
      </w:pPr>
      <w:r w:rsidRPr="00EA048B">
        <w:rPr>
          <w:rFonts w:ascii="Arial" w:hAnsi="Arial" w:cs="Arial"/>
          <w:lang w:val="es-US"/>
        </w:rPr>
        <w:t>Manja procjena sopstvenih prihoda po Rebalansu u odnosu na plan po Budžetu urađena je kod:</w:t>
      </w:r>
    </w:p>
    <w:p w:rsidR="00E1115E" w:rsidRPr="00EA048B" w:rsidRDefault="00E1115E" w:rsidP="00E1115E">
      <w:pPr>
        <w:pStyle w:val="Default"/>
        <w:jc w:val="both"/>
        <w:rPr>
          <w:rFonts w:ascii="Arial" w:hAnsi="Arial" w:cs="Arial"/>
          <w:sz w:val="12"/>
          <w:szCs w:val="12"/>
          <w:lang w:val="es-US"/>
        </w:rPr>
      </w:pPr>
    </w:p>
    <w:p w:rsidR="00E1115E" w:rsidRPr="00EA048B" w:rsidRDefault="00E1115E" w:rsidP="00E1115E">
      <w:pPr>
        <w:pStyle w:val="Default"/>
        <w:numPr>
          <w:ilvl w:val="1"/>
          <w:numId w:val="4"/>
        </w:numPr>
        <w:jc w:val="both"/>
        <w:rPr>
          <w:rFonts w:ascii="Arial" w:hAnsi="Arial" w:cs="Arial"/>
          <w:b/>
          <w:lang w:val="es-US"/>
        </w:rPr>
      </w:pPr>
      <w:r w:rsidRPr="00EA048B">
        <w:rPr>
          <w:rFonts w:ascii="Arial" w:hAnsi="Arial" w:cs="Arial"/>
          <w:b/>
          <w:lang w:val="es-US"/>
        </w:rPr>
        <w:t xml:space="preserve">Lokalnih komunalnih taksi </w:t>
      </w:r>
      <w:r w:rsidRPr="00EA048B">
        <w:rPr>
          <w:rFonts w:ascii="Arial" w:hAnsi="Arial" w:cs="Arial"/>
          <w:lang w:val="es-US"/>
        </w:rPr>
        <w:t xml:space="preserve">koje su planirane u iznosu od 175.000,00 € ili za 23,91% manje u odnosu na plan po Budžetu. </w:t>
      </w:r>
    </w:p>
    <w:p w:rsidR="00E1115E" w:rsidRPr="00EA048B" w:rsidRDefault="00E1115E" w:rsidP="00E1115E">
      <w:pPr>
        <w:pStyle w:val="Default"/>
        <w:ind w:left="1440"/>
        <w:jc w:val="both"/>
        <w:rPr>
          <w:rFonts w:ascii="Arial" w:hAnsi="Arial" w:cs="Arial"/>
          <w:sz w:val="12"/>
          <w:szCs w:val="12"/>
          <w:lang w:val="es-US"/>
        </w:rPr>
      </w:pPr>
    </w:p>
    <w:p w:rsidR="00E1115E" w:rsidRPr="00EA048B" w:rsidRDefault="00E1115E" w:rsidP="00E1115E">
      <w:pPr>
        <w:pStyle w:val="Default"/>
        <w:ind w:left="1440"/>
        <w:jc w:val="both"/>
        <w:rPr>
          <w:rFonts w:ascii="Arial" w:hAnsi="Arial" w:cs="Arial"/>
          <w:lang w:val="es-US"/>
        </w:rPr>
      </w:pPr>
      <w:r w:rsidRPr="00EA048B">
        <w:rPr>
          <w:rFonts w:ascii="Arial" w:hAnsi="Arial" w:cs="Arial"/>
          <w:lang w:val="es-US"/>
        </w:rPr>
        <w:t xml:space="preserve">Na sjednici Skupštine Opštine Bar od 23.03.2021. </w:t>
      </w:r>
      <w:proofErr w:type="gramStart"/>
      <w:r w:rsidRPr="00EA048B">
        <w:rPr>
          <w:rFonts w:ascii="Arial" w:hAnsi="Arial" w:cs="Arial"/>
          <w:lang w:val="es-US"/>
        </w:rPr>
        <w:t>godine</w:t>
      </w:r>
      <w:proofErr w:type="gramEnd"/>
      <w:r w:rsidRPr="00EA048B">
        <w:rPr>
          <w:rFonts w:ascii="Arial" w:hAnsi="Arial" w:cs="Arial"/>
          <w:lang w:val="es-US"/>
        </w:rPr>
        <w:t xml:space="preserve"> usvojen je niz zaključaka kojima je omogućeno oslobađanje plaćanja dijela obaveza po osnovu lokalnih komulnalnih taksi i to:</w:t>
      </w:r>
    </w:p>
    <w:p w:rsidR="00E1115E" w:rsidRPr="00EA048B" w:rsidRDefault="00E1115E" w:rsidP="00E1115E">
      <w:pPr>
        <w:pStyle w:val="Default"/>
        <w:numPr>
          <w:ilvl w:val="0"/>
          <w:numId w:val="6"/>
        </w:numPr>
        <w:ind w:left="2127" w:hanging="142"/>
        <w:jc w:val="both"/>
        <w:rPr>
          <w:rFonts w:ascii="Arial" w:hAnsi="Arial" w:cs="Arial"/>
          <w:lang w:val="es-US"/>
        </w:rPr>
      </w:pPr>
      <w:r w:rsidRPr="00EA048B">
        <w:rPr>
          <w:rFonts w:ascii="Arial" w:hAnsi="Arial" w:cs="Arial"/>
          <w:lang w:val="es-US"/>
        </w:rPr>
        <w:t xml:space="preserve">obvezniku lokalne komunalne takse za korišćenje prostora na javnim površinama za postavljanje privremenih objekata (ljetnje bašte, zatvorene bašte, ostalih privremenih objekata koji se mogu izmještati s jednog mjesta na drugo (slobodno-stojeća vitrina, pokretna tezga, zabavni parkovi i sl.) odobreno je umanjenje 100% iznosa, za period od 01. januara do 30. juna 2021.godine. </w:t>
      </w:r>
    </w:p>
    <w:p w:rsidR="00E1115E" w:rsidRPr="00EA048B" w:rsidRDefault="00E1115E" w:rsidP="00E1115E">
      <w:pPr>
        <w:pStyle w:val="Default"/>
        <w:numPr>
          <w:ilvl w:val="0"/>
          <w:numId w:val="6"/>
        </w:numPr>
        <w:ind w:left="2127" w:hanging="142"/>
        <w:jc w:val="both"/>
        <w:rPr>
          <w:rFonts w:ascii="Arial" w:hAnsi="Arial" w:cs="Arial"/>
          <w:lang w:val="es-US"/>
        </w:rPr>
      </w:pPr>
      <w:r w:rsidRPr="00EA048B">
        <w:rPr>
          <w:rFonts w:ascii="Arial" w:hAnsi="Arial" w:cs="Arial"/>
          <w:lang w:val="es-US"/>
        </w:rPr>
        <w:t xml:space="preserve">Auto – taksi prevozniku (pravno lice ili preduzetnik) odobreno je umanjenje </w:t>
      </w:r>
      <w:r w:rsidRPr="00EA048B">
        <w:rPr>
          <w:rFonts w:ascii="Arial" w:eastAsia="Calibri" w:hAnsi="Arial" w:cs="Arial"/>
          <w:lang w:val="es-US"/>
        </w:rPr>
        <w:t>100% iznosa lokalne komunalne takse za korišćenje auto - taksi stajališta po auto - taksi vozilu, za koje posjeduje izvod licence, za period od 01. januara do 30. juna 2021. godine.</w:t>
      </w:r>
    </w:p>
    <w:p w:rsidR="00E1115E" w:rsidRPr="00EA048B" w:rsidRDefault="00E1115E" w:rsidP="00E1115E">
      <w:pPr>
        <w:pStyle w:val="Default"/>
        <w:jc w:val="both"/>
        <w:rPr>
          <w:rFonts w:ascii="Arial" w:hAnsi="Arial" w:cs="Arial"/>
          <w:b/>
          <w:sz w:val="12"/>
          <w:szCs w:val="12"/>
          <w:lang w:val="es-US"/>
        </w:rPr>
      </w:pPr>
    </w:p>
    <w:p w:rsidR="00E1115E" w:rsidRPr="00EA048B" w:rsidRDefault="00E1115E" w:rsidP="000C0023">
      <w:pPr>
        <w:pStyle w:val="Default"/>
        <w:numPr>
          <w:ilvl w:val="1"/>
          <w:numId w:val="4"/>
        </w:numPr>
        <w:jc w:val="both"/>
        <w:rPr>
          <w:rFonts w:ascii="Arial" w:hAnsi="Arial" w:cs="Arial"/>
          <w:b/>
          <w:lang w:val="es-US"/>
        </w:rPr>
      </w:pPr>
      <w:r w:rsidRPr="00EA048B">
        <w:rPr>
          <w:rFonts w:ascii="Arial" w:hAnsi="Arial" w:cs="Arial"/>
          <w:b/>
          <w:lang w:val="es-US"/>
        </w:rPr>
        <w:t xml:space="preserve">Naknade za komunalno opremanje građevinskog zemljišta – komunalije – </w:t>
      </w:r>
      <w:r w:rsidRPr="00EA048B">
        <w:rPr>
          <w:rFonts w:ascii="Arial" w:hAnsi="Arial" w:cs="Arial"/>
          <w:lang w:val="es-US"/>
        </w:rPr>
        <w:t>po Rebalansu planirana je u iznosu od 2.500.000,00 €, odnosno manje za 30,56% (prihod Kapitalnog budžeta);</w:t>
      </w:r>
    </w:p>
    <w:p w:rsidR="00E1115E" w:rsidRPr="00EA048B" w:rsidRDefault="00E1115E" w:rsidP="000C0023">
      <w:pPr>
        <w:spacing w:after="0"/>
        <w:ind w:left="1440"/>
        <w:jc w:val="both"/>
        <w:rPr>
          <w:rFonts w:ascii="Arial" w:hAnsi="Arial" w:cs="Arial"/>
          <w:sz w:val="24"/>
          <w:szCs w:val="24"/>
          <w:lang w:val="es-US"/>
        </w:rPr>
      </w:pPr>
      <w:r w:rsidRPr="00EA048B">
        <w:rPr>
          <w:rFonts w:ascii="Arial" w:hAnsi="Arial" w:cs="Arial"/>
          <w:sz w:val="24"/>
          <w:szCs w:val="24"/>
          <w:lang w:val="es-US"/>
        </w:rPr>
        <w:t xml:space="preserve">Vlada Crne Gore je na sjednici održanoj 22. </w:t>
      </w:r>
      <w:proofErr w:type="gramStart"/>
      <w:r w:rsidRPr="00EA048B">
        <w:rPr>
          <w:rFonts w:ascii="Arial" w:hAnsi="Arial" w:cs="Arial"/>
          <w:sz w:val="24"/>
          <w:szCs w:val="24"/>
          <w:lang w:val="es-US"/>
        </w:rPr>
        <w:t>jula</w:t>
      </w:r>
      <w:proofErr w:type="gramEnd"/>
      <w:r w:rsidRPr="00EA048B">
        <w:rPr>
          <w:rFonts w:ascii="Arial" w:hAnsi="Arial" w:cs="Arial"/>
          <w:sz w:val="24"/>
          <w:szCs w:val="24"/>
          <w:lang w:val="es-US"/>
        </w:rPr>
        <w:t xml:space="preserve"> 2021. </w:t>
      </w:r>
      <w:proofErr w:type="gramStart"/>
      <w:r w:rsidRPr="00EA048B">
        <w:rPr>
          <w:rFonts w:ascii="Arial" w:hAnsi="Arial" w:cs="Arial"/>
          <w:sz w:val="24"/>
          <w:szCs w:val="24"/>
          <w:lang w:val="es-US"/>
        </w:rPr>
        <w:t>godine</w:t>
      </w:r>
      <w:proofErr w:type="gramEnd"/>
      <w:r w:rsidRPr="00EA048B">
        <w:rPr>
          <w:rFonts w:ascii="Arial" w:hAnsi="Arial" w:cs="Arial"/>
          <w:sz w:val="24"/>
          <w:szCs w:val="24"/>
          <w:lang w:val="es-US"/>
        </w:rPr>
        <w:t xml:space="preserve"> donijela Odluku o izmjeni i dopuni Odluke o izradi izmjena i dopuna Detaljnog urbanističkog plana „Topolica IV“ Opština Bar („Sl. list CG“, br. 91/21 od 27.08.2021.g.), kojom se zabranjuje građenje na prostoru predmetnog DUP-a, do donošenja Izmjena i dopuna, a najduže u trajanju od 12 mjeseci, što je ključni razlog smanjenja ovog prihoda. </w:t>
      </w:r>
    </w:p>
    <w:p w:rsidR="00E1115E" w:rsidRPr="00EA048B" w:rsidRDefault="00E1115E" w:rsidP="000C0023">
      <w:pPr>
        <w:spacing w:after="0"/>
        <w:ind w:left="1440"/>
        <w:jc w:val="both"/>
        <w:rPr>
          <w:rFonts w:ascii="Arial" w:hAnsi="Arial" w:cs="Arial"/>
          <w:sz w:val="24"/>
          <w:szCs w:val="24"/>
          <w:lang w:val="es-US"/>
        </w:rPr>
      </w:pPr>
      <w:r w:rsidRPr="00EA048B">
        <w:rPr>
          <w:rFonts w:ascii="Arial" w:hAnsi="Arial" w:cs="Arial"/>
          <w:sz w:val="24"/>
          <w:szCs w:val="24"/>
          <w:lang w:val="es-US"/>
        </w:rPr>
        <w:lastRenderedPageBreak/>
        <w:t xml:space="preserve">Takođe, Zaključkom SO Bar usvojenim na sjednici od 23.03.2021. </w:t>
      </w:r>
      <w:proofErr w:type="gramStart"/>
      <w:r w:rsidRPr="00EA048B">
        <w:rPr>
          <w:rFonts w:ascii="Arial" w:hAnsi="Arial" w:cs="Arial"/>
          <w:sz w:val="24"/>
          <w:szCs w:val="24"/>
          <w:lang w:val="es-US"/>
        </w:rPr>
        <w:t>godine</w:t>
      </w:r>
      <w:proofErr w:type="gramEnd"/>
      <w:r w:rsidRPr="00EA048B">
        <w:rPr>
          <w:rFonts w:ascii="Arial" w:hAnsi="Arial" w:cs="Arial"/>
          <w:sz w:val="24"/>
          <w:szCs w:val="24"/>
          <w:lang w:val="es-US"/>
        </w:rPr>
        <w:t xml:space="preserve"> omogućeno je umanjenje za dodatnih 10% naknade za komunalno opremanje građevinskog zemljišta na osnovu ugovora zaključenog u 2021. </w:t>
      </w:r>
      <w:proofErr w:type="gramStart"/>
      <w:r w:rsidRPr="00EA048B">
        <w:rPr>
          <w:rFonts w:ascii="Arial" w:hAnsi="Arial" w:cs="Arial"/>
          <w:sz w:val="24"/>
          <w:szCs w:val="24"/>
          <w:lang w:val="es-US"/>
        </w:rPr>
        <w:t>godini</w:t>
      </w:r>
      <w:proofErr w:type="gramEnd"/>
      <w:r w:rsidRPr="00EA048B">
        <w:rPr>
          <w:rFonts w:ascii="Arial" w:hAnsi="Arial" w:cs="Arial"/>
          <w:sz w:val="24"/>
          <w:szCs w:val="24"/>
          <w:lang w:val="es-US"/>
        </w:rPr>
        <w:t>, koja je saglasno Odluci o naknadi za komunalno opremanje građevinskog zemljišta, u slučaju jednokratnog plaćanja, već umanjena za 20%.</w:t>
      </w:r>
    </w:p>
    <w:p w:rsidR="003A4893" w:rsidRPr="00EA048B" w:rsidRDefault="003A4893" w:rsidP="000C0023">
      <w:pPr>
        <w:spacing w:after="0"/>
        <w:ind w:left="1440"/>
        <w:jc w:val="both"/>
        <w:rPr>
          <w:rFonts w:ascii="Arial" w:hAnsi="Arial" w:cs="Arial"/>
          <w:sz w:val="10"/>
          <w:szCs w:val="10"/>
          <w:lang w:val="es-US"/>
        </w:rPr>
      </w:pPr>
    </w:p>
    <w:p w:rsidR="00E1115E" w:rsidRPr="00EA048B" w:rsidRDefault="00E1115E" w:rsidP="003A4893">
      <w:pPr>
        <w:pStyle w:val="Default"/>
        <w:numPr>
          <w:ilvl w:val="1"/>
          <w:numId w:val="4"/>
        </w:numPr>
        <w:jc w:val="both"/>
        <w:rPr>
          <w:rFonts w:ascii="Arial" w:hAnsi="Arial" w:cs="Arial"/>
          <w:b/>
          <w:lang w:val="es-US"/>
        </w:rPr>
      </w:pPr>
      <w:r w:rsidRPr="00EA048B">
        <w:rPr>
          <w:rFonts w:ascii="Arial" w:hAnsi="Arial" w:cs="Arial"/>
          <w:b/>
          <w:lang w:val="es-US"/>
        </w:rPr>
        <w:t>Naknade od urbane sanacije  i drugih izvora prihoda u skladu sa zakonom</w:t>
      </w:r>
      <w:r w:rsidRPr="00EA048B">
        <w:rPr>
          <w:rFonts w:ascii="Arial" w:hAnsi="Arial" w:cs="Arial"/>
          <w:lang w:val="es-US"/>
        </w:rPr>
        <w:t xml:space="preserve"> po Rebalansu planirana je u iznosu od 100.000,00 €, odnosno manje za 66,67% (prihod Kapitalnog budžeta);</w:t>
      </w:r>
    </w:p>
    <w:p w:rsidR="00E1115E" w:rsidRPr="00EA048B" w:rsidRDefault="00E1115E" w:rsidP="003A4893">
      <w:pPr>
        <w:autoSpaceDE w:val="0"/>
        <w:autoSpaceDN w:val="0"/>
        <w:adjustRightInd w:val="0"/>
        <w:spacing w:after="0"/>
        <w:ind w:left="1440"/>
        <w:jc w:val="both"/>
        <w:rPr>
          <w:rFonts w:ascii="Arial" w:hAnsi="Arial" w:cs="Arial"/>
          <w:sz w:val="24"/>
          <w:szCs w:val="24"/>
          <w:lang w:val="es-US"/>
        </w:rPr>
      </w:pPr>
      <w:r w:rsidRPr="00EA048B">
        <w:rPr>
          <w:rFonts w:ascii="Arial" w:hAnsi="Arial" w:cs="Arial"/>
          <w:sz w:val="24"/>
          <w:szCs w:val="24"/>
          <w:lang w:val="es-US"/>
        </w:rPr>
        <w:t xml:space="preserve">Odluka </w:t>
      </w:r>
      <w:r w:rsidRPr="00EA048B">
        <w:rPr>
          <w:rFonts w:ascii="Arial" w:hAnsi="Arial" w:cs="Arial"/>
          <w:sz w:val="24"/>
          <w:szCs w:val="24"/>
          <w:lang w:val="es-US" w:eastAsia="sr-Latn-CS"/>
        </w:rPr>
        <w:t xml:space="preserve">o naknadi za urbanu sanaciju u Opštini Bar („Sl. list Crne Gore“, br. 94/21 od 03.09.2021.g.) stupila je na snagu u septembru mjesecu tekuće godine, što je i osnovni razlog za umanjenje plana </w:t>
      </w:r>
      <w:r w:rsidRPr="00EA048B">
        <w:rPr>
          <w:rFonts w:ascii="Arial" w:hAnsi="Arial" w:cs="Arial"/>
          <w:sz w:val="24"/>
          <w:szCs w:val="24"/>
          <w:lang w:val="es-US"/>
        </w:rPr>
        <w:t>po ovom osnovu.</w:t>
      </w:r>
    </w:p>
    <w:p w:rsidR="003A4893" w:rsidRPr="00EA048B" w:rsidRDefault="003A4893" w:rsidP="003A4893">
      <w:pPr>
        <w:autoSpaceDE w:val="0"/>
        <w:autoSpaceDN w:val="0"/>
        <w:adjustRightInd w:val="0"/>
        <w:spacing w:after="0"/>
        <w:ind w:left="1440"/>
        <w:jc w:val="both"/>
        <w:rPr>
          <w:rFonts w:ascii="Arial" w:hAnsi="Arial" w:cs="Arial"/>
          <w:sz w:val="10"/>
          <w:szCs w:val="10"/>
          <w:lang w:val="es-US" w:eastAsia="sr-Latn-CS"/>
        </w:rPr>
      </w:pPr>
    </w:p>
    <w:p w:rsidR="00E1115E" w:rsidRPr="00EA048B" w:rsidRDefault="00E1115E" w:rsidP="003A4893">
      <w:pPr>
        <w:pStyle w:val="ListParagraph"/>
        <w:numPr>
          <w:ilvl w:val="1"/>
          <w:numId w:val="4"/>
        </w:numPr>
        <w:autoSpaceDE w:val="0"/>
        <w:autoSpaceDN w:val="0"/>
        <w:adjustRightInd w:val="0"/>
        <w:spacing w:line="276" w:lineRule="auto"/>
        <w:contextualSpacing/>
        <w:jc w:val="both"/>
        <w:rPr>
          <w:rFonts w:ascii="Arial" w:hAnsi="Arial" w:cs="Arial"/>
          <w:b/>
          <w:lang w:val="es-US"/>
        </w:rPr>
      </w:pPr>
      <w:r w:rsidRPr="00EA048B">
        <w:rPr>
          <w:rFonts w:ascii="Arial" w:hAnsi="Arial" w:cs="Arial"/>
          <w:b/>
          <w:lang w:val="es-US"/>
        </w:rPr>
        <w:t xml:space="preserve">Posebne naknada na investicije – </w:t>
      </w:r>
      <w:r w:rsidRPr="00EA048B">
        <w:rPr>
          <w:rFonts w:ascii="Arial" w:hAnsi="Arial" w:cs="Arial"/>
          <w:lang w:val="es-US"/>
        </w:rPr>
        <w:t>koja je</w:t>
      </w:r>
      <w:r w:rsidRPr="00EA048B">
        <w:rPr>
          <w:rFonts w:ascii="Arial" w:hAnsi="Arial" w:cs="Arial"/>
          <w:b/>
          <w:lang w:val="es-US"/>
        </w:rPr>
        <w:t xml:space="preserve"> </w:t>
      </w:r>
      <w:r w:rsidRPr="00EA048B">
        <w:rPr>
          <w:rFonts w:ascii="Arial" w:hAnsi="Arial" w:cs="Arial"/>
          <w:lang w:val="es-US"/>
        </w:rPr>
        <w:t xml:space="preserve">po Rebalansu planirana u iznosu od 70.000,00 €, odnosno manje za 30,00% (prihod Kapitalnog budžeta) iz razloga umanjenja naknade za komunalno opremanje građevinskog zemljišta. </w:t>
      </w:r>
    </w:p>
    <w:p w:rsidR="00893ECD" w:rsidRPr="00EA048B" w:rsidRDefault="00893ECD" w:rsidP="003A4893">
      <w:pPr>
        <w:pStyle w:val="ListParagraph"/>
        <w:autoSpaceDE w:val="0"/>
        <w:autoSpaceDN w:val="0"/>
        <w:adjustRightInd w:val="0"/>
        <w:spacing w:line="276" w:lineRule="auto"/>
        <w:ind w:left="1440"/>
        <w:contextualSpacing/>
        <w:jc w:val="both"/>
        <w:rPr>
          <w:rFonts w:ascii="Arial" w:hAnsi="Arial" w:cs="Arial"/>
          <w:b/>
          <w:sz w:val="10"/>
          <w:szCs w:val="10"/>
          <w:lang w:val="es-US"/>
        </w:rPr>
      </w:pPr>
    </w:p>
    <w:p w:rsidR="00E1115E" w:rsidRPr="00EA048B" w:rsidRDefault="00E1115E" w:rsidP="003A4893">
      <w:pPr>
        <w:pStyle w:val="Default"/>
        <w:numPr>
          <w:ilvl w:val="1"/>
          <w:numId w:val="4"/>
        </w:numPr>
        <w:jc w:val="both"/>
        <w:rPr>
          <w:rFonts w:ascii="Arial" w:hAnsi="Arial" w:cs="Arial"/>
          <w:lang w:val="es-US"/>
        </w:rPr>
      </w:pPr>
      <w:r w:rsidRPr="00EA048B">
        <w:rPr>
          <w:rFonts w:ascii="Arial" w:hAnsi="Arial" w:cs="Arial"/>
          <w:b/>
          <w:lang w:val="es-US"/>
        </w:rPr>
        <w:t xml:space="preserve">Ostalih naknada za puteve </w:t>
      </w:r>
      <w:r w:rsidRPr="00EA048B">
        <w:rPr>
          <w:rFonts w:ascii="Arial" w:hAnsi="Arial" w:cs="Arial"/>
          <w:lang w:val="es-US"/>
        </w:rPr>
        <w:t>koje su</w:t>
      </w:r>
      <w:r w:rsidRPr="00EA048B">
        <w:rPr>
          <w:rFonts w:ascii="Arial" w:hAnsi="Arial" w:cs="Arial"/>
          <w:b/>
          <w:lang w:val="es-US"/>
        </w:rPr>
        <w:t xml:space="preserve"> </w:t>
      </w:r>
      <w:r w:rsidRPr="00EA048B">
        <w:rPr>
          <w:rFonts w:ascii="Arial" w:hAnsi="Arial" w:cs="Arial"/>
          <w:lang w:val="es-US"/>
        </w:rPr>
        <w:t>po Rebalansu planirane u iznosu od 170.000,00 €, odnosno manje za 32,00% (prihod Tekućeg budžeta);</w:t>
      </w:r>
    </w:p>
    <w:p w:rsidR="00E1115E" w:rsidRPr="00EA048B" w:rsidRDefault="00E1115E" w:rsidP="003A4893">
      <w:pPr>
        <w:pStyle w:val="Default"/>
        <w:ind w:left="1440"/>
        <w:jc w:val="both"/>
        <w:rPr>
          <w:rFonts w:ascii="Arial" w:hAnsi="Arial" w:cs="Arial"/>
          <w:lang w:val="es-US"/>
        </w:rPr>
      </w:pPr>
      <w:r w:rsidRPr="00EA048B">
        <w:rPr>
          <w:rFonts w:ascii="Arial" w:hAnsi="Arial" w:cs="Arial"/>
          <w:lang w:val="es-US"/>
        </w:rPr>
        <w:t xml:space="preserve">Na sjednici Skupštine Opštine Bar od 23.03.2021. </w:t>
      </w:r>
      <w:proofErr w:type="gramStart"/>
      <w:r w:rsidRPr="00EA048B">
        <w:rPr>
          <w:rFonts w:ascii="Arial" w:hAnsi="Arial" w:cs="Arial"/>
          <w:lang w:val="es-US"/>
        </w:rPr>
        <w:t>godine</w:t>
      </w:r>
      <w:proofErr w:type="gramEnd"/>
      <w:r w:rsidRPr="00EA048B">
        <w:rPr>
          <w:rFonts w:ascii="Arial" w:hAnsi="Arial" w:cs="Arial"/>
          <w:lang w:val="es-US"/>
        </w:rPr>
        <w:t xml:space="preserve"> usvojen je zaključak kojim se obveznicima godišnje naknade za korišćenje komercijalnih objekata kojima je omogućen pristup sa opštinskog puta, odobrava umanjenje 100% iznosa predmetne naknade, za period od 01. </w:t>
      </w:r>
      <w:proofErr w:type="gramStart"/>
      <w:r w:rsidRPr="00EA048B">
        <w:rPr>
          <w:rFonts w:ascii="Arial" w:hAnsi="Arial" w:cs="Arial"/>
          <w:lang w:val="es-US"/>
        </w:rPr>
        <w:t>januara</w:t>
      </w:r>
      <w:proofErr w:type="gramEnd"/>
      <w:r w:rsidRPr="00EA048B">
        <w:rPr>
          <w:rFonts w:ascii="Arial" w:hAnsi="Arial" w:cs="Arial"/>
          <w:lang w:val="es-US"/>
        </w:rPr>
        <w:t xml:space="preserve"> do 30. </w:t>
      </w:r>
      <w:proofErr w:type="gramStart"/>
      <w:r w:rsidRPr="00EA048B">
        <w:rPr>
          <w:rFonts w:ascii="Arial" w:hAnsi="Arial" w:cs="Arial"/>
          <w:lang w:val="es-US"/>
        </w:rPr>
        <w:t>juna</w:t>
      </w:r>
      <w:proofErr w:type="gramEnd"/>
      <w:r w:rsidRPr="00EA048B">
        <w:rPr>
          <w:rFonts w:ascii="Arial" w:hAnsi="Arial" w:cs="Arial"/>
          <w:lang w:val="es-US"/>
        </w:rPr>
        <w:t xml:space="preserve"> 2021. </w:t>
      </w:r>
      <w:proofErr w:type="gramStart"/>
      <w:r w:rsidRPr="00EA048B">
        <w:rPr>
          <w:rFonts w:ascii="Arial" w:hAnsi="Arial" w:cs="Arial"/>
          <w:lang w:val="es-US"/>
        </w:rPr>
        <w:t>godine</w:t>
      </w:r>
      <w:proofErr w:type="gramEnd"/>
      <w:r w:rsidRPr="00EA048B">
        <w:rPr>
          <w:rFonts w:ascii="Arial" w:hAnsi="Arial" w:cs="Arial"/>
          <w:lang w:val="es-US"/>
        </w:rPr>
        <w:t>.</w:t>
      </w:r>
    </w:p>
    <w:p w:rsidR="00E1115E" w:rsidRPr="00EA048B" w:rsidRDefault="00E1115E" w:rsidP="003A4893">
      <w:pPr>
        <w:pStyle w:val="Default"/>
        <w:ind w:left="1440"/>
        <w:jc w:val="both"/>
        <w:rPr>
          <w:rFonts w:ascii="Arial" w:hAnsi="Arial" w:cs="Arial"/>
          <w:sz w:val="10"/>
          <w:szCs w:val="10"/>
          <w:lang w:val="es-US"/>
        </w:rPr>
      </w:pPr>
    </w:p>
    <w:p w:rsidR="00E1115E" w:rsidRPr="00EA048B" w:rsidRDefault="00E1115E" w:rsidP="00E1115E">
      <w:pPr>
        <w:pStyle w:val="Default"/>
        <w:numPr>
          <w:ilvl w:val="0"/>
          <w:numId w:val="7"/>
        </w:numPr>
        <w:ind w:left="1418" w:hanging="284"/>
        <w:jc w:val="both"/>
        <w:rPr>
          <w:rFonts w:ascii="Arial" w:hAnsi="Arial" w:cs="Arial"/>
          <w:lang w:val="es-US"/>
        </w:rPr>
      </w:pPr>
      <w:r w:rsidRPr="00EA048B">
        <w:rPr>
          <w:rFonts w:ascii="Arial" w:hAnsi="Arial" w:cs="Arial"/>
          <w:b/>
          <w:bCs/>
          <w:lang w:val="es-US"/>
        </w:rPr>
        <w:t xml:space="preserve">Prihoda od prodaje nefinansijske imovine - </w:t>
      </w:r>
      <w:r w:rsidRPr="00EA048B">
        <w:rPr>
          <w:rFonts w:ascii="Arial" w:hAnsi="Arial" w:cs="Arial"/>
          <w:lang w:val="es-US"/>
        </w:rPr>
        <w:t xml:space="preserve">koji su po Rebalansu planirani u iznosu od 1.500.000,00 €, odnosno manje za 34,78% i prihod su Kapitalnog budžeta. </w:t>
      </w:r>
    </w:p>
    <w:p w:rsidR="00E1115E" w:rsidRPr="00EA048B" w:rsidRDefault="00E1115E" w:rsidP="00E1115E">
      <w:pPr>
        <w:pStyle w:val="Default"/>
        <w:ind w:left="1418"/>
        <w:jc w:val="both"/>
        <w:rPr>
          <w:rFonts w:ascii="Arial" w:hAnsi="Arial" w:cs="Arial"/>
          <w:lang w:val="es-US"/>
        </w:rPr>
      </w:pPr>
      <w:r w:rsidRPr="00EA048B">
        <w:rPr>
          <w:rFonts w:ascii="Arial" w:hAnsi="Arial" w:cs="Arial"/>
          <w:lang w:val="es-US"/>
        </w:rPr>
        <w:t xml:space="preserve">Na smanjenje ovog prihoda direktno je uticalo usvajanje Odluke o izmjeni i dopuni Odluke o izradi izmjena i dopuna detaljnog urbanističkog plana </w:t>
      </w:r>
      <w:r w:rsidR="0055489E" w:rsidRPr="00EA048B">
        <w:rPr>
          <w:rFonts w:ascii="Arial" w:hAnsi="Arial" w:cs="Arial"/>
          <w:lang w:val="es-US"/>
        </w:rPr>
        <w:t>„</w:t>
      </w:r>
      <w:r w:rsidRPr="00EA048B">
        <w:rPr>
          <w:rFonts w:ascii="Arial" w:hAnsi="Arial" w:cs="Arial"/>
          <w:lang w:val="es-US"/>
        </w:rPr>
        <w:t>Topolica IV</w:t>
      </w:r>
      <w:r w:rsidR="0055489E" w:rsidRPr="00EA048B">
        <w:rPr>
          <w:rFonts w:ascii="Arial" w:hAnsi="Arial" w:cs="Arial"/>
          <w:lang w:val="es-US"/>
        </w:rPr>
        <w:t>“ Opština Bar</w:t>
      </w:r>
      <w:r w:rsidRPr="00EA048B">
        <w:rPr>
          <w:rFonts w:ascii="Arial" w:hAnsi="Arial" w:cs="Arial"/>
          <w:lang w:val="es-US"/>
        </w:rPr>
        <w:t xml:space="preserve"> („Sl. list CG“, br. 91/21 od 27.08.2021.g.), kojom se zabranjuje građenje na prostoru predmetnog DUP-a, do donošenja Izmjena i dopuna, a najduže u trajanju od 12 mjeseci. Naime, investitori koji su iskazivali interesovanje za realizacijom investicija i kupovinom zemljišta na prostoru predmetnog DUP-a, odustali su zbog usvajanja navedene Odluke.</w:t>
      </w:r>
    </w:p>
    <w:p w:rsidR="00E1115E" w:rsidRPr="00EA048B" w:rsidRDefault="00E1115E" w:rsidP="00E1115E">
      <w:pPr>
        <w:pStyle w:val="Default"/>
        <w:ind w:left="720"/>
        <w:jc w:val="both"/>
        <w:rPr>
          <w:rFonts w:ascii="Arial" w:hAnsi="Arial" w:cs="Arial"/>
          <w:b/>
          <w:sz w:val="10"/>
          <w:szCs w:val="10"/>
          <w:lang w:val="es-US"/>
        </w:rPr>
      </w:pPr>
    </w:p>
    <w:p w:rsidR="00E1115E" w:rsidRPr="00EA048B" w:rsidRDefault="00E1115E" w:rsidP="00E1115E">
      <w:pPr>
        <w:pStyle w:val="Default"/>
        <w:jc w:val="both"/>
        <w:rPr>
          <w:rFonts w:ascii="Arial" w:hAnsi="Arial" w:cs="Arial"/>
          <w:lang w:val="es-US"/>
        </w:rPr>
      </w:pPr>
      <w:r w:rsidRPr="00EA048B">
        <w:rPr>
          <w:rFonts w:ascii="Arial" w:hAnsi="Arial" w:cs="Arial"/>
          <w:lang w:val="es-US"/>
        </w:rPr>
        <w:t>Na nivou planskih predviđanja su sledeći sopstveni prihodi:</w:t>
      </w:r>
    </w:p>
    <w:p w:rsidR="00E1115E" w:rsidRPr="00EA048B" w:rsidRDefault="00E1115E" w:rsidP="00E1115E">
      <w:pPr>
        <w:pStyle w:val="Default"/>
        <w:jc w:val="both"/>
        <w:rPr>
          <w:rFonts w:ascii="Arial" w:hAnsi="Arial" w:cs="Arial"/>
          <w:lang w:val="es-US"/>
        </w:rPr>
      </w:pPr>
    </w:p>
    <w:p w:rsidR="00E1115E" w:rsidRPr="00EA048B" w:rsidRDefault="00E1115E" w:rsidP="003A4893">
      <w:pPr>
        <w:pStyle w:val="Default"/>
        <w:numPr>
          <w:ilvl w:val="0"/>
          <w:numId w:val="7"/>
        </w:numPr>
        <w:ind w:left="1418" w:hanging="284"/>
        <w:jc w:val="both"/>
        <w:rPr>
          <w:rFonts w:ascii="Arial" w:hAnsi="Arial" w:cs="Arial"/>
          <w:lang w:val="es-US"/>
        </w:rPr>
      </w:pPr>
      <w:r w:rsidRPr="00EA048B">
        <w:rPr>
          <w:rFonts w:ascii="Arial" w:hAnsi="Arial" w:cs="Arial"/>
          <w:b/>
          <w:lang w:val="es-US"/>
        </w:rPr>
        <w:t>Prirez porezu na dohodak fizičkih lica</w:t>
      </w:r>
      <w:r w:rsidRPr="00EA048B">
        <w:rPr>
          <w:rFonts w:ascii="Arial" w:hAnsi="Arial" w:cs="Arial"/>
          <w:lang w:val="es-US"/>
        </w:rPr>
        <w:t xml:space="preserve"> – koji je po Rebalansu planiran u iznosu od 1.100.000,00 €.</w:t>
      </w:r>
    </w:p>
    <w:p w:rsidR="00E1115E" w:rsidRPr="00EA048B" w:rsidRDefault="00E1115E" w:rsidP="003A4893">
      <w:pPr>
        <w:pStyle w:val="Default"/>
        <w:ind w:left="1418"/>
        <w:jc w:val="both"/>
        <w:rPr>
          <w:rFonts w:ascii="Arial" w:hAnsi="Arial" w:cs="Arial"/>
          <w:lang w:val="es-US"/>
        </w:rPr>
      </w:pPr>
      <w:r w:rsidRPr="00EA048B">
        <w:rPr>
          <w:rFonts w:ascii="Arial" w:hAnsi="Arial" w:cs="Arial"/>
          <w:lang w:val="es-US"/>
        </w:rPr>
        <w:t xml:space="preserve">Zaključkom usvojenim na sjednici SO Bar održanoj 23.03.2021. </w:t>
      </w:r>
      <w:proofErr w:type="gramStart"/>
      <w:r w:rsidRPr="00EA048B">
        <w:rPr>
          <w:rFonts w:ascii="Arial" w:hAnsi="Arial" w:cs="Arial"/>
          <w:lang w:val="es-US"/>
        </w:rPr>
        <w:t>godine</w:t>
      </w:r>
      <w:proofErr w:type="gramEnd"/>
      <w:r w:rsidRPr="00EA048B">
        <w:rPr>
          <w:rFonts w:ascii="Arial" w:hAnsi="Arial" w:cs="Arial"/>
          <w:lang w:val="es-US"/>
        </w:rPr>
        <w:t xml:space="preserve">, omogućeno je oslobađanje plaćanja 100% poreske obaveze po osnovu prireza porezu na dohodak fizičkih lica, poslodavcima za nove zaposlene, a koji su bili na  evidenciji Zavoda za zapošljavanje Crne Gore kao nezaposleni na dan 01. </w:t>
      </w:r>
      <w:proofErr w:type="gramStart"/>
      <w:r w:rsidRPr="00EA048B">
        <w:rPr>
          <w:rFonts w:ascii="Arial" w:hAnsi="Arial" w:cs="Arial"/>
          <w:lang w:val="es-US"/>
        </w:rPr>
        <w:t>januara</w:t>
      </w:r>
      <w:proofErr w:type="gramEnd"/>
      <w:r w:rsidRPr="00EA048B">
        <w:rPr>
          <w:rFonts w:ascii="Arial" w:hAnsi="Arial" w:cs="Arial"/>
          <w:lang w:val="es-US"/>
        </w:rPr>
        <w:t xml:space="preserve"> 2021. </w:t>
      </w:r>
      <w:proofErr w:type="gramStart"/>
      <w:r w:rsidRPr="00EA048B">
        <w:rPr>
          <w:rFonts w:ascii="Arial" w:hAnsi="Arial" w:cs="Arial"/>
          <w:lang w:val="es-US"/>
        </w:rPr>
        <w:t>godine</w:t>
      </w:r>
      <w:proofErr w:type="gramEnd"/>
      <w:r w:rsidRPr="00EA048B">
        <w:rPr>
          <w:rFonts w:ascii="Arial" w:hAnsi="Arial" w:cs="Arial"/>
          <w:lang w:val="es-US"/>
        </w:rPr>
        <w:t xml:space="preserve">, u periodu od 01. </w:t>
      </w:r>
      <w:proofErr w:type="gramStart"/>
      <w:r w:rsidRPr="00EA048B">
        <w:rPr>
          <w:rFonts w:ascii="Arial" w:hAnsi="Arial" w:cs="Arial"/>
          <w:lang w:val="es-US"/>
        </w:rPr>
        <w:t>januara</w:t>
      </w:r>
      <w:proofErr w:type="gramEnd"/>
      <w:r w:rsidRPr="00EA048B">
        <w:rPr>
          <w:rFonts w:ascii="Arial" w:hAnsi="Arial" w:cs="Arial"/>
          <w:lang w:val="es-US"/>
        </w:rPr>
        <w:t xml:space="preserve"> do 30. </w:t>
      </w:r>
      <w:proofErr w:type="gramStart"/>
      <w:r w:rsidRPr="00EA048B">
        <w:rPr>
          <w:rFonts w:ascii="Arial" w:hAnsi="Arial" w:cs="Arial"/>
          <w:lang w:val="es-US"/>
        </w:rPr>
        <w:t>juna</w:t>
      </w:r>
      <w:proofErr w:type="gramEnd"/>
      <w:r w:rsidRPr="00EA048B">
        <w:rPr>
          <w:rFonts w:ascii="Arial" w:hAnsi="Arial" w:cs="Arial"/>
          <w:lang w:val="es-US"/>
        </w:rPr>
        <w:t xml:space="preserve"> 2021. </w:t>
      </w:r>
      <w:proofErr w:type="gramStart"/>
      <w:r w:rsidRPr="00EA048B">
        <w:rPr>
          <w:rFonts w:ascii="Arial" w:hAnsi="Arial" w:cs="Arial"/>
          <w:lang w:val="es-US"/>
        </w:rPr>
        <w:t>godine</w:t>
      </w:r>
      <w:proofErr w:type="gramEnd"/>
      <w:r w:rsidRPr="00EA048B">
        <w:rPr>
          <w:rFonts w:ascii="Arial" w:hAnsi="Arial" w:cs="Arial"/>
          <w:lang w:val="es-US"/>
        </w:rPr>
        <w:t>.</w:t>
      </w:r>
    </w:p>
    <w:p w:rsidR="00E1115E" w:rsidRPr="00EA048B" w:rsidRDefault="00E1115E" w:rsidP="003A4893">
      <w:pPr>
        <w:pStyle w:val="Default"/>
        <w:ind w:left="720"/>
        <w:jc w:val="both"/>
        <w:rPr>
          <w:rFonts w:ascii="Arial" w:hAnsi="Arial" w:cs="Arial"/>
          <w:sz w:val="10"/>
          <w:szCs w:val="10"/>
          <w:lang w:val="es-US"/>
        </w:rPr>
      </w:pPr>
    </w:p>
    <w:p w:rsidR="00E1115E" w:rsidRPr="00EA048B" w:rsidRDefault="00E1115E" w:rsidP="003A4893">
      <w:pPr>
        <w:pStyle w:val="Default"/>
        <w:numPr>
          <w:ilvl w:val="1"/>
          <w:numId w:val="4"/>
        </w:numPr>
        <w:jc w:val="both"/>
        <w:rPr>
          <w:rFonts w:ascii="Arial" w:hAnsi="Arial" w:cs="Arial"/>
          <w:b/>
          <w:lang w:val="es-US"/>
        </w:rPr>
      </w:pPr>
      <w:r w:rsidRPr="00EA048B">
        <w:rPr>
          <w:rFonts w:ascii="Arial" w:hAnsi="Arial" w:cs="Arial"/>
          <w:b/>
          <w:lang w:val="es-US"/>
        </w:rPr>
        <w:t xml:space="preserve">Lokalne administrativne takse </w:t>
      </w:r>
      <w:r w:rsidRPr="00EA048B">
        <w:rPr>
          <w:rFonts w:ascii="Arial" w:hAnsi="Arial" w:cs="Arial"/>
          <w:lang w:val="es-US"/>
        </w:rPr>
        <w:t>koje su</w:t>
      </w:r>
      <w:r w:rsidRPr="00EA048B">
        <w:rPr>
          <w:rFonts w:ascii="Arial" w:hAnsi="Arial" w:cs="Arial"/>
          <w:b/>
          <w:lang w:val="es-US"/>
        </w:rPr>
        <w:t xml:space="preserve"> </w:t>
      </w:r>
      <w:r w:rsidRPr="00EA048B">
        <w:rPr>
          <w:rFonts w:ascii="Arial" w:hAnsi="Arial" w:cs="Arial"/>
          <w:lang w:val="es-US"/>
        </w:rPr>
        <w:t>po Rebalansu ostale nepromijenjene odnosno iznose  60.000,00 €.</w:t>
      </w:r>
    </w:p>
    <w:p w:rsidR="00E1115E" w:rsidRPr="00EA048B" w:rsidRDefault="00E1115E" w:rsidP="003A4893">
      <w:pPr>
        <w:pStyle w:val="Default"/>
        <w:ind w:left="1440"/>
        <w:jc w:val="both"/>
        <w:rPr>
          <w:rFonts w:ascii="Arial" w:hAnsi="Arial" w:cs="Arial"/>
          <w:b/>
          <w:sz w:val="10"/>
          <w:szCs w:val="10"/>
          <w:lang w:val="es-US"/>
        </w:rPr>
      </w:pPr>
    </w:p>
    <w:p w:rsidR="00E1115E" w:rsidRPr="00EA048B" w:rsidRDefault="00E1115E" w:rsidP="003A4893">
      <w:pPr>
        <w:pStyle w:val="Default"/>
        <w:numPr>
          <w:ilvl w:val="1"/>
          <w:numId w:val="4"/>
        </w:numPr>
        <w:jc w:val="both"/>
        <w:rPr>
          <w:rFonts w:ascii="Arial" w:hAnsi="Arial" w:cs="Arial"/>
          <w:lang w:val="es-US"/>
        </w:rPr>
      </w:pPr>
      <w:r w:rsidRPr="00EA048B">
        <w:rPr>
          <w:rFonts w:ascii="Arial" w:hAnsi="Arial" w:cs="Arial"/>
          <w:b/>
          <w:lang w:val="es-US"/>
        </w:rPr>
        <w:t xml:space="preserve">Naknada za komunalno opremanje i zakup građevinskog zemljišta – privremeni objekti </w:t>
      </w:r>
      <w:r w:rsidRPr="00EA048B">
        <w:rPr>
          <w:rFonts w:ascii="Arial" w:hAnsi="Arial" w:cs="Arial"/>
          <w:lang w:val="es-US"/>
        </w:rPr>
        <w:t>koja je</w:t>
      </w:r>
      <w:r w:rsidRPr="00EA048B">
        <w:rPr>
          <w:rFonts w:ascii="Arial" w:hAnsi="Arial" w:cs="Arial"/>
          <w:b/>
          <w:lang w:val="es-US"/>
        </w:rPr>
        <w:t xml:space="preserve"> </w:t>
      </w:r>
      <w:r w:rsidRPr="00EA048B">
        <w:rPr>
          <w:rFonts w:ascii="Arial" w:hAnsi="Arial" w:cs="Arial"/>
          <w:lang w:val="es-US"/>
        </w:rPr>
        <w:t>planirana u iznosu od 200.000,00 €, što je na nivou planskih predviđanja.</w:t>
      </w:r>
    </w:p>
    <w:p w:rsidR="00E1115E" w:rsidRPr="00EA048B" w:rsidRDefault="00E1115E" w:rsidP="003A4893">
      <w:pPr>
        <w:pStyle w:val="Default"/>
        <w:ind w:left="1440"/>
        <w:jc w:val="both"/>
        <w:rPr>
          <w:rFonts w:ascii="Arial" w:hAnsi="Arial" w:cs="Arial"/>
          <w:lang w:val="es-US"/>
        </w:rPr>
      </w:pPr>
      <w:r w:rsidRPr="00EA048B">
        <w:rPr>
          <w:rFonts w:ascii="Arial" w:hAnsi="Arial" w:cs="Arial"/>
          <w:lang w:val="es-US"/>
        </w:rPr>
        <w:lastRenderedPageBreak/>
        <w:t xml:space="preserve">Zaključkom usvojenim na sjednici SO Bar održanoj 23.03.2021. </w:t>
      </w:r>
      <w:proofErr w:type="gramStart"/>
      <w:r w:rsidRPr="00EA048B">
        <w:rPr>
          <w:rFonts w:ascii="Arial" w:hAnsi="Arial" w:cs="Arial"/>
          <w:lang w:val="es-US"/>
        </w:rPr>
        <w:t>godine</w:t>
      </w:r>
      <w:proofErr w:type="gramEnd"/>
      <w:r w:rsidRPr="00EA048B">
        <w:rPr>
          <w:rFonts w:ascii="Arial" w:hAnsi="Arial" w:cs="Arial"/>
          <w:lang w:val="es-US"/>
        </w:rPr>
        <w:t>, omogućeno je oslobađanje plaćanja skraćivanjem perioda zakupa zemljišta na kojem Opština ima pravo svojine ili raspolaganja, a koje je Odlukom o donošenju Programa građenja, postavljanja i uklanjanja privremenih objekata na području Opštine Bar određeno za postavljanje privremenih objekata po raznim namjenama.</w:t>
      </w:r>
    </w:p>
    <w:p w:rsidR="00E1115E" w:rsidRPr="00EA048B" w:rsidRDefault="00E1115E" w:rsidP="003A4893">
      <w:pPr>
        <w:pStyle w:val="Default"/>
        <w:jc w:val="both"/>
        <w:rPr>
          <w:rFonts w:ascii="Arial" w:hAnsi="Arial" w:cs="Arial"/>
          <w:b/>
          <w:lang w:val="es-US"/>
        </w:rPr>
      </w:pPr>
    </w:p>
    <w:p w:rsidR="0055489E" w:rsidRPr="00EA048B" w:rsidRDefault="0055489E" w:rsidP="00E1115E">
      <w:pPr>
        <w:jc w:val="both"/>
        <w:rPr>
          <w:rFonts w:ascii="Arial" w:hAnsi="Arial" w:cs="Arial"/>
          <w:b/>
          <w:sz w:val="24"/>
          <w:szCs w:val="24"/>
          <w:u w:val="single"/>
          <w:lang w:val="es-US"/>
        </w:rPr>
      </w:pPr>
    </w:p>
    <w:p w:rsidR="00E1115E" w:rsidRPr="00EA048B" w:rsidRDefault="00E1115E" w:rsidP="00E1115E">
      <w:pPr>
        <w:jc w:val="both"/>
        <w:rPr>
          <w:rFonts w:ascii="Arial" w:hAnsi="Arial" w:cs="Arial"/>
          <w:b/>
          <w:sz w:val="24"/>
          <w:szCs w:val="24"/>
          <w:u w:val="single"/>
          <w:lang w:val="es-US"/>
        </w:rPr>
      </w:pPr>
      <w:r w:rsidRPr="00EA048B">
        <w:rPr>
          <w:rFonts w:ascii="Arial" w:hAnsi="Arial" w:cs="Arial"/>
          <w:b/>
          <w:sz w:val="24"/>
          <w:szCs w:val="24"/>
          <w:u w:val="single"/>
          <w:lang w:val="es-US"/>
        </w:rPr>
        <w:t>USTUPLJENI PRIHODI</w:t>
      </w:r>
    </w:p>
    <w:p w:rsidR="00E1115E" w:rsidRPr="00EA048B" w:rsidRDefault="00E1115E" w:rsidP="0055489E">
      <w:pPr>
        <w:pStyle w:val="Default"/>
        <w:jc w:val="both"/>
        <w:rPr>
          <w:rFonts w:ascii="Arial" w:hAnsi="Arial" w:cs="Arial"/>
          <w:b/>
          <w:lang w:val="es-US"/>
        </w:rPr>
      </w:pPr>
    </w:p>
    <w:p w:rsidR="00E1115E" w:rsidRPr="00EA048B" w:rsidRDefault="00E1115E" w:rsidP="003A4893">
      <w:pPr>
        <w:jc w:val="both"/>
        <w:rPr>
          <w:rFonts w:ascii="Arial" w:hAnsi="Arial" w:cs="Arial"/>
          <w:sz w:val="24"/>
          <w:szCs w:val="24"/>
          <w:lang w:val="es-US"/>
        </w:rPr>
      </w:pPr>
      <w:r w:rsidRPr="00EA048B">
        <w:rPr>
          <w:rFonts w:ascii="Arial" w:hAnsi="Arial" w:cs="Arial"/>
          <w:sz w:val="24"/>
          <w:szCs w:val="24"/>
          <w:lang w:val="es-US"/>
        </w:rPr>
        <w:t>Veća procjena ustupljenih prihoda po Rebalansu u odnosu na plan po Budžetu urađena je kod:</w:t>
      </w:r>
    </w:p>
    <w:p w:rsidR="00E1115E" w:rsidRPr="00EA048B" w:rsidRDefault="00E1115E" w:rsidP="00E1115E">
      <w:pPr>
        <w:pStyle w:val="Default"/>
        <w:numPr>
          <w:ilvl w:val="0"/>
          <w:numId w:val="4"/>
        </w:numPr>
        <w:spacing w:after="15"/>
        <w:jc w:val="both"/>
        <w:rPr>
          <w:rFonts w:ascii="Arial" w:hAnsi="Arial" w:cs="Arial"/>
          <w:lang w:val="es-US"/>
        </w:rPr>
      </w:pPr>
      <w:r w:rsidRPr="00EA048B">
        <w:rPr>
          <w:rFonts w:ascii="Arial" w:hAnsi="Arial" w:cs="Arial"/>
          <w:b/>
          <w:lang w:val="es-US"/>
        </w:rPr>
        <w:t>Poreza na promet nepokretnosti</w:t>
      </w:r>
      <w:r w:rsidRPr="00EA048B">
        <w:rPr>
          <w:rFonts w:ascii="Arial" w:hAnsi="Arial" w:cs="Arial"/>
          <w:lang w:val="es-US"/>
        </w:rPr>
        <w:t xml:space="preserve"> koji je planiran u iznosu od 1.700.000,00 € ili za 3,03% više u odnosu na plan.</w:t>
      </w:r>
    </w:p>
    <w:p w:rsidR="00E1115E" w:rsidRPr="00EA048B" w:rsidRDefault="00E1115E" w:rsidP="00E1115E">
      <w:pPr>
        <w:pStyle w:val="Default"/>
        <w:spacing w:after="15"/>
        <w:ind w:left="720"/>
        <w:jc w:val="both"/>
        <w:rPr>
          <w:rFonts w:ascii="Arial" w:hAnsi="Arial" w:cs="Arial"/>
          <w:sz w:val="16"/>
          <w:szCs w:val="16"/>
          <w:lang w:val="es-US"/>
        </w:rPr>
      </w:pPr>
    </w:p>
    <w:p w:rsidR="00E1115E" w:rsidRPr="00EA048B" w:rsidRDefault="00E1115E" w:rsidP="00E1115E">
      <w:pPr>
        <w:pStyle w:val="Default"/>
        <w:spacing w:after="15"/>
        <w:jc w:val="both"/>
        <w:rPr>
          <w:rFonts w:ascii="Arial" w:hAnsi="Arial" w:cs="Arial"/>
          <w:lang w:val="es-US"/>
        </w:rPr>
      </w:pPr>
      <w:r w:rsidRPr="00EA048B">
        <w:rPr>
          <w:rFonts w:ascii="Arial" w:hAnsi="Arial" w:cs="Arial"/>
          <w:lang w:val="es-US"/>
        </w:rPr>
        <w:t>Na nivou planskih predviđanja su sledeći ustupljeni prihodi, i to:</w:t>
      </w:r>
    </w:p>
    <w:p w:rsidR="00E1115E" w:rsidRPr="00EA048B" w:rsidRDefault="00E1115E" w:rsidP="00E1115E">
      <w:pPr>
        <w:pStyle w:val="Default"/>
        <w:numPr>
          <w:ilvl w:val="0"/>
          <w:numId w:val="4"/>
        </w:numPr>
        <w:jc w:val="both"/>
        <w:rPr>
          <w:rFonts w:ascii="Arial" w:hAnsi="Arial" w:cs="Arial"/>
          <w:lang w:val="es-US"/>
        </w:rPr>
      </w:pPr>
      <w:r w:rsidRPr="00EA048B">
        <w:rPr>
          <w:rFonts w:ascii="Arial" w:hAnsi="Arial" w:cs="Arial"/>
          <w:b/>
          <w:lang w:val="es-US"/>
        </w:rPr>
        <w:t>porez na dohodak fizičkih lica</w:t>
      </w:r>
      <w:r w:rsidRPr="00EA048B">
        <w:rPr>
          <w:rFonts w:ascii="Arial" w:hAnsi="Arial" w:cs="Arial"/>
          <w:lang w:val="es-US"/>
        </w:rPr>
        <w:t xml:space="preserve"> koji je po Rebalansu planiran u iznosu od 1.100.000,00 € </w:t>
      </w:r>
    </w:p>
    <w:p w:rsidR="00E1115E" w:rsidRPr="00EA048B" w:rsidRDefault="00E1115E" w:rsidP="00E1115E">
      <w:pPr>
        <w:pStyle w:val="Default"/>
        <w:spacing w:after="15"/>
        <w:rPr>
          <w:rFonts w:ascii="Arial" w:hAnsi="Arial" w:cs="Arial"/>
          <w:sz w:val="16"/>
          <w:szCs w:val="16"/>
          <w:lang w:val="es-US"/>
        </w:rPr>
      </w:pPr>
    </w:p>
    <w:p w:rsidR="00E1115E" w:rsidRPr="00EA048B" w:rsidRDefault="00E1115E" w:rsidP="00E1115E">
      <w:pPr>
        <w:pStyle w:val="Default"/>
        <w:numPr>
          <w:ilvl w:val="0"/>
          <w:numId w:val="4"/>
        </w:numPr>
        <w:jc w:val="both"/>
        <w:rPr>
          <w:rFonts w:ascii="Arial" w:hAnsi="Arial" w:cs="Arial"/>
          <w:lang w:val="es-US"/>
        </w:rPr>
      </w:pPr>
      <w:r w:rsidRPr="00EA048B">
        <w:rPr>
          <w:rFonts w:ascii="Arial" w:hAnsi="Arial" w:cs="Arial"/>
          <w:b/>
          <w:lang w:val="es-US"/>
        </w:rPr>
        <w:t>koncesione i druge naknade za korišćenje prirodnih dobara koje dodjeljuje Država</w:t>
      </w:r>
      <w:r w:rsidRPr="00EA048B">
        <w:rPr>
          <w:rFonts w:ascii="Arial" w:hAnsi="Arial" w:cs="Arial"/>
          <w:lang w:val="es-US"/>
        </w:rPr>
        <w:t xml:space="preserve"> – koje su po Rebalansu planirane u iznosu od 700.000,00 €, a odnose se na:</w:t>
      </w:r>
    </w:p>
    <w:p w:rsidR="00E1115E" w:rsidRPr="00EA048B" w:rsidRDefault="00E1115E" w:rsidP="00E1115E">
      <w:pPr>
        <w:pStyle w:val="Default"/>
        <w:numPr>
          <w:ilvl w:val="0"/>
          <w:numId w:val="8"/>
        </w:numPr>
        <w:jc w:val="both"/>
        <w:rPr>
          <w:rFonts w:ascii="Arial" w:hAnsi="Arial" w:cs="Arial"/>
          <w:lang w:val="es-US"/>
        </w:rPr>
      </w:pPr>
      <w:r w:rsidRPr="00EA048B">
        <w:rPr>
          <w:rFonts w:ascii="Arial" w:hAnsi="Arial" w:cs="Arial"/>
          <w:lang w:val="es-US"/>
        </w:rPr>
        <w:t xml:space="preserve">prihode po osnovu </w:t>
      </w:r>
      <w:r w:rsidRPr="00EA048B">
        <w:rPr>
          <w:rFonts w:ascii="Arial" w:hAnsi="Arial" w:cs="Arial"/>
          <w:b/>
          <w:lang w:val="es-US"/>
        </w:rPr>
        <w:t>naknade za korišćenje dobara od opšteg interesa,</w:t>
      </w:r>
      <w:r w:rsidRPr="00EA048B">
        <w:rPr>
          <w:rFonts w:ascii="Arial" w:hAnsi="Arial" w:cs="Arial"/>
          <w:lang w:val="es-US"/>
        </w:rPr>
        <w:t xml:space="preserve"> koji su planirani u iznosu od 50.000,00 €,</w:t>
      </w:r>
    </w:p>
    <w:p w:rsidR="00E1115E" w:rsidRPr="00EA048B" w:rsidRDefault="00E1115E" w:rsidP="00E1115E">
      <w:pPr>
        <w:pStyle w:val="Default"/>
        <w:numPr>
          <w:ilvl w:val="0"/>
          <w:numId w:val="8"/>
        </w:numPr>
        <w:jc w:val="both"/>
        <w:rPr>
          <w:rFonts w:ascii="Arial" w:hAnsi="Arial" w:cs="Arial"/>
          <w:lang w:val="es-US"/>
        </w:rPr>
      </w:pPr>
      <w:r w:rsidRPr="00EA048B">
        <w:rPr>
          <w:rFonts w:ascii="Arial" w:hAnsi="Arial" w:cs="Arial"/>
          <w:b/>
          <w:lang w:val="es-US"/>
        </w:rPr>
        <w:t>prihode za korišćenje mineralnih sirovina,</w:t>
      </w:r>
      <w:r w:rsidRPr="00EA048B">
        <w:rPr>
          <w:rFonts w:ascii="Arial" w:hAnsi="Arial" w:cs="Arial"/>
          <w:lang w:val="es-US"/>
        </w:rPr>
        <w:t xml:space="preserve"> koji su planirani u iznosu od  150.000,00 €,</w:t>
      </w:r>
    </w:p>
    <w:p w:rsidR="00E1115E" w:rsidRPr="00EA048B" w:rsidRDefault="00E1115E" w:rsidP="00E1115E">
      <w:pPr>
        <w:pStyle w:val="Default"/>
        <w:numPr>
          <w:ilvl w:val="0"/>
          <w:numId w:val="8"/>
        </w:numPr>
        <w:jc w:val="both"/>
        <w:rPr>
          <w:rFonts w:ascii="Arial" w:hAnsi="Arial" w:cs="Arial"/>
          <w:lang w:val="es-US"/>
        </w:rPr>
      </w:pPr>
      <w:r w:rsidRPr="00EA048B">
        <w:rPr>
          <w:rFonts w:ascii="Arial" w:hAnsi="Arial" w:cs="Arial"/>
          <w:b/>
          <w:lang w:val="es-US"/>
        </w:rPr>
        <w:t>prihode za korišćenje luke – nautički turizam,</w:t>
      </w:r>
      <w:r w:rsidRPr="00EA048B">
        <w:rPr>
          <w:rFonts w:ascii="Arial" w:hAnsi="Arial" w:cs="Arial"/>
          <w:lang w:val="es-US"/>
        </w:rPr>
        <w:t xml:space="preserve"> koji su planirani u iznosu od 500.000,00 € </w:t>
      </w:r>
    </w:p>
    <w:p w:rsidR="00E1115E" w:rsidRPr="00EA048B" w:rsidRDefault="00E1115E" w:rsidP="00E1115E">
      <w:pPr>
        <w:pStyle w:val="Default"/>
        <w:ind w:left="1440"/>
        <w:jc w:val="both"/>
        <w:rPr>
          <w:rFonts w:ascii="Arial" w:hAnsi="Arial" w:cs="Arial"/>
          <w:b/>
          <w:sz w:val="16"/>
          <w:szCs w:val="16"/>
          <w:lang w:val="es-US"/>
        </w:rPr>
      </w:pPr>
    </w:p>
    <w:p w:rsidR="00E1115E" w:rsidRPr="00EA048B" w:rsidRDefault="00E1115E" w:rsidP="00E1115E">
      <w:pPr>
        <w:pStyle w:val="Default"/>
        <w:jc w:val="both"/>
        <w:rPr>
          <w:rFonts w:ascii="Arial" w:hAnsi="Arial" w:cs="Arial"/>
          <w:b/>
          <w:lang w:val="es-US"/>
        </w:rPr>
      </w:pPr>
      <w:r w:rsidRPr="00EA048B">
        <w:rPr>
          <w:rFonts w:ascii="Arial" w:hAnsi="Arial" w:cs="Arial"/>
          <w:lang w:val="es-US"/>
        </w:rPr>
        <w:t xml:space="preserve">Prihodi po osnovu </w:t>
      </w:r>
      <w:r w:rsidRPr="00EA048B">
        <w:rPr>
          <w:rFonts w:ascii="Arial" w:hAnsi="Arial" w:cs="Arial"/>
          <w:b/>
          <w:lang w:val="es-US"/>
        </w:rPr>
        <w:t>godišnje naknade pri registraciji drumskih i motornih vozila</w:t>
      </w:r>
      <w:r w:rsidRPr="00EA048B">
        <w:rPr>
          <w:rFonts w:ascii="Arial" w:hAnsi="Arial" w:cs="Arial"/>
          <w:lang w:val="es-US"/>
        </w:rPr>
        <w:t xml:space="preserve"> planirani su u istom iznosu kao i Odlukom o Budžetu Opštine Bar za 2021. </w:t>
      </w:r>
      <w:proofErr w:type="gramStart"/>
      <w:r w:rsidRPr="00EA048B">
        <w:rPr>
          <w:rFonts w:ascii="Arial" w:hAnsi="Arial" w:cs="Arial"/>
          <w:lang w:val="es-US"/>
        </w:rPr>
        <w:t>godinu</w:t>
      </w:r>
      <w:proofErr w:type="gramEnd"/>
      <w:r w:rsidRPr="00EA048B">
        <w:rPr>
          <w:rFonts w:ascii="Arial" w:hAnsi="Arial" w:cs="Arial"/>
          <w:lang w:val="es-US"/>
        </w:rPr>
        <w:t>.</w:t>
      </w:r>
    </w:p>
    <w:p w:rsidR="00E1115E" w:rsidRPr="00EA048B" w:rsidRDefault="00E1115E" w:rsidP="00E1115E">
      <w:pPr>
        <w:pStyle w:val="Default"/>
        <w:jc w:val="both"/>
        <w:rPr>
          <w:rFonts w:ascii="Arial" w:hAnsi="Arial" w:cs="Arial"/>
          <w:lang w:val="es-US"/>
        </w:rPr>
      </w:pPr>
    </w:p>
    <w:p w:rsidR="00E1115E" w:rsidRPr="00EA048B" w:rsidRDefault="00E1115E" w:rsidP="00E1115E">
      <w:pPr>
        <w:pStyle w:val="Default"/>
        <w:jc w:val="both"/>
        <w:rPr>
          <w:rFonts w:ascii="Arial" w:hAnsi="Arial" w:cs="Arial"/>
          <w:lang w:val="es-US"/>
        </w:rPr>
      </w:pPr>
    </w:p>
    <w:p w:rsidR="00E1115E" w:rsidRPr="00EA048B" w:rsidRDefault="00E1115E" w:rsidP="00E1115E">
      <w:pPr>
        <w:jc w:val="both"/>
        <w:rPr>
          <w:rFonts w:ascii="Arial" w:hAnsi="Arial" w:cs="Arial"/>
          <w:sz w:val="24"/>
          <w:szCs w:val="24"/>
          <w:u w:val="single"/>
          <w:lang w:val="es-US"/>
        </w:rPr>
      </w:pPr>
      <w:r w:rsidRPr="00EA048B">
        <w:rPr>
          <w:rFonts w:ascii="Arial" w:hAnsi="Arial" w:cs="Arial"/>
          <w:b/>
          <w:sz w:val="24"/>
          <w:szCs w:val="24"/>
          <w:u w:val="single"/>
          <w:lang w:val="es-US"/>
        </w:rPr>
        <w:t>SREDSTVA PRENESENA IZ PRETHODNE GODINE</w:t>
      </w:r>
    </w:p>
    <w:p w:rsidR="00E1115E" w:rsidRPr="00EA048B" w:rsidRDefault="00E1115E" w:rsidP="00E1115E">
      <w:pPr>
        <w:pStyle w:val="Default"/>
        <w:jc w:val="both"/>
        <w:rPr>
          <w:rFonts w:ascii="Arial" w:hAnsi="Arial" w:cs="Arial"/>
          <w:lang w:val="es-US"/>
        </w:rPr>
      </w:pPr>
      <w:r w:rsidRPr="00EA048B">
        <w:rPr>
          <w:rFonts w:ascii="Arial" w:hAnsi="Arial" w:cs="Arial"/>
          <w:b/>
          <w:lang w:val="es-US"/>
        </w:rPr>
        <w:t>Sredstva prenesena iz prethodne godine</w:t>
      </w:r>
      <w:r w:rsidRPr="00EA048B">
        <w:rPr>
          <w:rFonts w:ascii="Arial" w:hAnsi="Arial" w:cs="Arial"/>
          <w:lang w:val="es-US"/>
        </w:rPr>
        <w:t xml:space="preserve"> - po Rebalansu su utvrđena u iznosu od 2.165.000,00 €. </w:t>
      </w:r>
    </w:p>
    <w:p w:rsidR="00E1115E" w:rsidRPr="00EA048B" w:rsidRDefault="00E1115E" w:rsidP="00E1115E">
      <w:pPr>
        <w:pStyle w:val="Default"/>
        <w:jc w:val="both"/>
        <w:rPr>
          <w:rFonts w:ascii="Arial" w:hAnsi="Arial" w:cs="Arial"/>
          <w:lang w:val="es-US"/>
        </w:rPr>
      </w:pPr>
      <w:r w:rsidRPr="00EA048B">
        <w:rPr>
          <w:rFonts w:ascii="Arial" w:hAnsi="Arial" w:cs="Arial"/>
          <w:lang w:val="es-US"/>
        </w:rPr>
        <w:t xml:space="preserve">Ova sredstva predstavljaju neraspoređena sredstva budžeta Opštine Bar na dan 31.12.2020. </w:t>
      </w:r>
      <w:proofErr w:type="gramStart"/>
      <w:r w:rsidRPr="00EA048B">
        <w:rPr>
          <w:rFonts w:ascii="Arial" w:hAnsi="Arial" w:cs="Arial"/>
          <w:lang w:val="es-US"/>
        </w:rPr>
        <w:t>godine</w:t>
      </w:r>
      <w:proofErr w:type="gramEnd"/>
      <w:r w:rsidRPr="00EA048B">
        <w:rPr>
          <w:rFonts w:ascii="Arial" w:hAnsi="Arial" w:cs="Arial"/>
          <w:lang w:val="es-US"/>
        </w:rPr>
        <w:t xml:space="preserve"> i prenijeta su Završnim računom za 2020. </w:t>
      </w:r>
      <w:proofErr w:type="gramStart"/>
      <w:r w:rsidRPr="00EA048B">
        <w:rPr>
          <w:rFonts w:ascii="Arial" w:hAnsi="Arial" w:cs="Arial"/>
          <w:lang w:val="es-US"/>
        </w:rPr>
        <w:t>godinu</w:t>
      </w:r>
      <w:proofErr w:type="gramEnd"/>
      <w:r w:rsidRPr="00EA048B">
        <w:rPr>
          <w:rFonts w:ascii="Arial" w:hAnsi="Arial" w:cs="Arial"/>
          <w:lang w:val="es-US"/>
        </w:rPr>
        <w:t xml:space="preserve">, kao početni depozit budžeta Opštine Bar za 2021. </w:t>
      </w:r>
      <w:proofErr w:type="gramStart"/>
      <w:r w:rsidRPr="00EA048B">
        <w:rPr>
          <w:rFonts w:ascii="Arial" w:hAnsi="Arial" w:cs="Arial"/>
          <w:lang w:val="es-US"/>
        </w:rPr>
        <w:t>godinu</w:t>
      </w:r>
      <w:proofErr w:type="gramEnd"/>
      <w:r w:rsidRPr="00EA048B">
        <w:rPr>
          <w:rFonts w:ascii="Arial" w:hAnsi="Arial" w:cs="Arial"/>
          <w:lang w:val="es-US"/>
        </w:rPr>
        <w:t xml:space="preserve"> i najvećim dijelom su namijenjena za potrebe Kapitalnog budžeta.</w:t>
      </w:r>
    </w:p>
    <w:p w:rsidR="00E1115E" w:rsidRPr="00EA048B" w:rsidRDefault="00E1115E" w:rsidP="0055489E">
      <w:pPr>
        <w:jc w:val="both"/>
        <w:rPr>
          <w:rFonts w:ascii="Arial" w:hAnsi="Arial" w:cs="Arial"/>
          <w:sz w:val="24"/>
          <w:szCs w:val="24"/>
          <w:lang w:val="es-US"/>
        </w:rPr>
      </w:pPr>
    </w:p>
    <w:p w:rsidR="00E1115E" w:rsidRPr="00EA048B" w:rsidRDefault="00E1115E" w:rsidP="00E1115E">
      <w:pPr>
        <w:jc w:val="both"/>
        <w:rPr>
          <w:rFonts w:ascii="Arial" w:hAnsi="Arial" w:cs="Arial"/>
          <w:b/>
          <w:sz w:val="24"/>
          <w:szCs w:val="24"/>
          <w:u w:val="single"/>
          <w:lang w:val="es-US"/>
        </w:rPr>
      </w:pPr>
      <w:r w:rsidRPr="00EA048B">
        <w:rPr>
          <w:rFonts w:ascii="Arial" w:hAnsi="Arial" w:cs="Arial"/>
          <w:b/>
          <w:sz w:val="24"/>
          <w:szCs w:val="24"/>
          <w:u w:val="single"/>
          <w:lang w:val="es-US"/>
        </w:rPr>
        <w:t>DONACIJE</w:t>
      </w:r>
    </w:p>
    <w:p w:rsidR="00E1115E" w:rsidRPr="00EA048B" w:rsidRDefault="00E1115E" w:rsidP="00E1115E">
      <w:pPr>
        <w:jc w:val="both"/>
        <w:rPr>
          <w:rFonts w:ascii="Arial" w:hAnsi="Arial" w:cs="Arial"/>
          <w:sz w:val="24"/>
          <w:szCs w:val="24"/>
          <w:lang w:val="es-US"/>
        </w:rPr>
      </w:pPr>
      <w:r w:rsidRPr="00EA048B">
        <w:rPr>
          <w:rFonts w:ascii="Arial" w:hAnsi="Arial" w:cs="Arial"/>
          <w:b/>
          <w:sz w:val="24"/>
          <w:szCs w:val="24"/>
          <w:lang w:val="es-US"/>
        </w:rPr>
        <w:t xml:space="preserve">Donacije </w:t>
      </w:r>
      <w:r w:rsidRPr="00EA048B">
        <w:rPr>
          <w:rFonts w:ascii="Arial" w:hAnsi="Arial" w:cs="Arial"/>
          <w:sz w:val="24"/>
          <w:szCs w:val="24"/>
          <w:lang w:val="es-US"/>
        </w:rPr>
        <w:t>su</w:t>
      </w:r>
      <w:r w:rsidRPr="00EA048B">
        <w:rPr>
          <w:rFonts w:ascii="Arial" w:hAnsi="Arial" w:cs="Arial"/>
          <w:b/>
          <w:sz w:val="24"/>
          <w:szCs w:val="24"/>
          <w:lang w:val="es-US"/>
        </w:rPr>
        <w:t xml:space="preserve"> </w:t>
      </w:r>
      <w:r w:rsidRPr="00EA048B">
        <w:rPr>
          <w:rFonts w:ascii="Arial" w:hAnsi="Arial" w:cs="Arial"/>
          <w:sz w:val="24"/>
          <w:szCs w:val="24"/>
          <w:lang w:val="es-US"/>
        </w:rPr>
        <w:t>po Rebalansu planirane u iznosu od 210.000,00 € i na nivou su planskih predviđanja.</w:t>
      </w:r>
    </w:p>
    <w:p w:rsidR="00E1115E" w:rsidRPr="00EA048B" w:rsidRDefault="00E1115E" w:rsidP="00E1115E">
      <w:pPr>
        <w:ind w:firstLine="720"/>
        <w:jc w:val="both"/>
        <w:rPr>
          <w:rFonts w:ascii="Arial" w:hAnsi="Arial" w:cs="Arial"/>
          <w:sz w:val="24"/>
          <w:szCs w:val="24"/>
          <w:lang w:val="es-US"/>
        </w:rPr>
      </w:pPr>
    </w:p>
    <w:p w:rsidR="00E1115E" w:rsidRPr="00EA048B" w:rsidRDefault="00E1115E" w:rsidP="00E1115E">
      <w:pPr>
        <w:ind w:firstLine="720"/>
        <w:jc w:val="both"/>
        <w:rPr>
          <w:rFonts w:ascii="Arial" w:hAnsi="Arial" w:cs="Arial"/>
          <w:sz w:val="24"/>
          <w:szCs w:val="24"/>
          <w:lang w:val="es-US"/>
        </w:rPr>
      </w:pPr>
    </w:p>
    <w:p w:rsidR="00E1115E" w:rsidRPr="00EA048B" w:rsidRDefault="00E1115E" w:rsidP="00E1115E">
      <w:pPr>
        <w:jc w:val="both"/>
        <w:rPr>
          <w:rFonts w:ascii="Arial" w:hAnsi="Arial" w:cs="Arial"/>
          <w:sz w:val="24"/>
          <w:szCs w:val="24"/>
          <w:lang w:val="es-US"/>
        </w:rPr>
      </w:pPr>
    </w:p>
    <w:p w:rsidR="00E1115E" w:rsidRPr="00EA048B" w:rsidRDefault="00E1115E" w:rsidP="00E1115E">
      <w:pPr>
        <w:jc w:val="both"/>
        <w:rPr>
          <w:rFonts w:ascii="Arial" w:hAnsi="Arial" w:cs="Arial"/>
          <w:b/>
          <w:sz w:val="24"/>
          <w:szCs w:val="24"/>
          <w:u w:val="single"/>
          <w:lang w:val="es-US"/>
        </w:rPr>
      </w:pPr>
      <w:r w:rsidRPr="00EA048B">
        <w:rPr>
          <w:rFonts w:ascii="Arial" w:hAnsi="Arial" w:cs="Arial"/>
          <w:b/>
          <w:sz w:val="24"/>
          <w:szCs w:val="24"/>
          <w:lang w:val="es-US"/>
        </w:rPr>
        <w:t>III</w:t>
      </w:r>
      <w:r w:rsidRPr="00EA048B">
        <w:rPr>
          <w:rFonts w:ascii="Arial" w:hAnsi="Arial" w:cs="Arial"/>
          <w:sz w:val="24"/>
          <w:szCs w:val="24"/>
          <w:lang w:val="es-US"/>
        </w:rPr>
        <w:t xml:space="preserve">    </w:t>
      </w:r>
      <w:r w:rsidRPr="00EA048B">
        <w:rPr>
          <w:rFonts w:ascii="Arial" w:hAnsi="Arial" w:cs="Arial"/>
          <w:b/>
          <w:sz w:val="24"/>
          <w:szCs w:val="24"/>
          <w:lang w:val="es-US"/>
        </w:rPr>
        <w:t xml:space="preserve">OBRAZLOŽENJE IZDATAKA PO REBALANSU ZA 2021. </w:t>
      </w:r>
      <w:proofErr w:type="gramStart"/>
      <w:r w:rsidRPr="00EA048B">
        <w:rPr>
          <w:rFonts w:ascii="Arial" w:hAnsi="Arial" w:cs="Arial"/>
          <w:b/>
          <w:sz w:val="24"/>
          <w:szCs w:val="24"/>
          <w:lang w:val="es-US"/>
        </w:rPr>
        <w:t>godinu</w:t>
      </w:r>
      <w:proofErr w:type="gramEnd"/>
      <w:r w:rsidRPr="00EA048B">
        <w:rPr>
          <w:rFonts w:ascii="Arial" w:hAnsi="Arial" w:cs="Arial"/>
          <w:b/>
          <w:sz w:val="24"/>
          <w:szCs w:val="24"/>
          <w:lang w:val="es-US"/>
        </w:rPr>
        <w:tab/>
      </w:r>
      <w:r w:rsidRPr="00EA048B">
        <w:rPr>
          <w:rFonts w:ascii="Arial" w:hAnsi="Arial" w:cs="Arial"/>
          <w:b/>
          <w:sz w:val="24"/>
          <w:szCs w:val="24"/>
          <w:lang w:val="es-US"/>
        </w:rPr>
        <w:tab/>
      </w:r>
      <w:r w:rsidRPr="00EA048B">
        <w:rPr>
          <w:rFonts w:ascii="Arial" w:hAnsi="Arial" w:cs="Arial"/>
          <w:b/>
          <w:sz w:val="24"/>
          <w:szCs w:val="24"/>
          <w:lang w:val="es-US"/>
        </w:rPr>
        <w:tab/>
      </w:r>
      <w:r w:rsidRPr="00EA048B">
        <w:rPr>
          <w:rFonts w:ascii="Arial" w:hAnsi="Arial" w:cs="Arial"/>
          <w:b/>
          <w:sz w:val="24"/>
          <w:szCs w:val="24"/>
          <w:lang w:val="es-US"/>
        </w:rPr>
        <w:tab/>
      </w:r>
      <w:r w:rsidRPr="00EA048B">
        <w:rPr>
          <w:rFonts w:ascii="Arial" w:hAnsi="Arial" w:cs="Arial"/>
          <w:b/>
          <w:sz w:val="24"/>
          <w:szCs w:val="24"/>
          <w:lang w:val="es-US"/>
        </w:rPr>
        <w:tab/>
      </w:r>
      <w:r w:rsidRPr="00EA048B">
        <w:rPr>
          <w:rFonts w:ascii="Arial" w:hAnsi="Arial" w:cs="Arial"/>
          <w:b/>
          <w:sz w:val="24"/>
          <w:szCs w:val="24"/>
          <w:lang w:val="es-US"/>
        </w:rPr>
        <w:tab/>
      </w:r>
    </w:p>
    <w:p w:rsidR="00E1115E" w:rsidRPr="00EA048B" w:rsidRDefault="00E1115E" w:rsidP="00E1115E">
      <w:pPr>
        <w:jc w:val="both"/>
        <w:rPr>
          <w:rFonts w:ascii="Arial" w:hAnsi="Arial" w:cs="Arial"/>
          <w:sz w:val="24"/>
          <w:szCs w:val="24"/>
          <w:lang w:val="es-US"/>
        </w:rPr>
      </w:pPr>
      <w:r w:rsidRPr="00EA048B">
        <w:rPr>
          <w:rFonts w:ascii="Arial" w:hAnsi="Arial" w:cs="Arial"/>
          <w:sz w:val="24"/>
          <w:szCs w:val="24"/>
          <w:lang w:val="es-US"/>
        </w:rPr>
        <w:t xml:space="preserve">Odlukom o izmjenama i dopunama Odluke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odnosno Rebalansom ukupni izdaci planirani su u iznosu od </w:t>
      </w:r>
      <w:r w:rsidRPr="00EA048B">
        <w:rPr>
          <w:rFonts w:ascii="Arial" w:hAnsi="Arial" w:cs="Arial"/>
          <w:b/>
          <w:sz w:val="24"/>
          <w:szCs w:val="24"/>
          <w:lang w:val="es-US"/>
        </w:rPr>
        <w:t>21.800.000,00 €</w:t>
      </w:r>
      <w:r w:rsidRPr="00EA048B">
        <w:rPr>
          <w:rFonts w:ascii="Arial" w:hAnsi="Arial" w:cs="Arial"/>
          <w:sz w:val="24"/>
          <w:szCs w:val="24"/>
          <w:lang w:val="es-US"/>
        </w:rPr>
        <w:t xml:space="preserve">, što je više od izdataka planiranih po Odluci o Budžetu Opštine Bar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za 9,00%.</w:t>
      </w:r>
    </w:p>
    <w:p w:rsidR="00E1115E" w:rsidRPr="000C0023" w:rsidRDefault="00E1115E" w:rsidP="00E1115E">
      <w:pPr>
        <w:jc w:val="both"/>
        <w:rPr>
          <w:rFonts w:ascii="Arial" w:hAnsi="Arial" w:cs="Arial"/>
          <w:sz w:val="24"/>
          <w:szCs w:val="24"/>
        </w:rPr>
      </w:pPr>
      <w:r w:rsidRPr="000C0023">
        <w:rPr>
          <w:rFonts w:ascii="Arial" w:hAnsi="Arial" w:cs="Arial"/>
          <w:sz w:val="24"/>
          <w:szCs w:val="24"/>
        </w:rPr>
        <w:t>Predlog rasporeda izdataka po Rebalansu dat je u sledećoj tabeli:</w:t>
      </w:r>
    </w:p>
    <w:tbl>
      <w:tblPr>
        <w:tblW w:w="9436" w:type="dxa"/>
        <w:jc w:val="center"/>
        <w:tblInd w:w="7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83"/>
        <w:gridCol w:w="2757"/>
        <w:gridCol w:w="3096"/>
      </w:tblGrid>
      <w:tr w:rsidR="00E1115E" w:rsidRPr="000C0023" w:rsidTr="00CA76AE">
        <w:trPr>
          <w:jc w:val="center"/>
        </w:trPr>
        <w:tc>
          <w:tcPr>
            <w:tcW w:w="3583" w:type="dxa"/>
            <w:vAlign w:val="center"/>
          </w:tcPr>
          <w:p w:rsidR="00E1115E" w:rsidRPr="000C0023" w:rsidRDefault="00E1115E" w:rsidP="0055489E">
            <w:pPr>
              <w:spacing w:after="0"/>
              <w:jc w:val="center"/>
              <w:rPr>
                <w:rFonts w:ascii="Arial" w:hAnsi="Arial" w:cs="Arial"/>
                <w:b/>
                <w:sz w:val="24"/>
                <w:szCs w:val="24"/>
              </w:rPr>
            </w:pPr>
            <w:r w:rsidRPr="000C0023">
              <w:rPr>
                <w:rFonts w:ascii="Arial" w:hAnsi="Arial" w:cs="Arial"/>
                <w:b/>
                <w:sz w:val="24"/>
                <w:szCs w:val="24"/>
              </w:rPr>
              <w:t>OPIS</w:t>
            </w:r>
          </w:p>
        </w:tc>
        <w:tc>
          <w:tcPr>
            <w:tcW w:w="2757" w:type="dxa"/>
            <w:vAlign w:val="center"/>
          </w:tcPr>
          <w:p w:rsidR="0055489E" w:rsidRPr="000C0023" w:rsidRDefault="00E1115E" w:rsidP="0055489E">
            <w:pPr>
              <w:spacing w:after="0"/>
              <w:jc w:val="center"/>
              <w:rPr>
                <w:rFonts w:ascii="Arial" w:hAnsi="Arial" w:cs="Arial"/>
                <w:b/>
                <w:sz w:val="24"/>
                <w:szCs w:val="24"/>
              </w:rPr>
            </w:pPr>
            <w:r w:rsidRPr="000C0023">
              <w:rPr>
                <w:rFonts w:ascii="Arial" w:hAnsi="Arial" w:cs="Arial"/>
                <w:b/>
                <w:sz w:val="24"/>
                <w:szCs w:val="24"/>
              </w:rPr>
              <w:t xml:space="preserve">Plan po Budžetu </w:t>
            </w:r>
          </w:p>
          <w:p w:rsidR="00E1115E" w:rsidRPr="000C0023" w:rsidRDefault="00E1115E" w:rsidP="0055489E">
            <w:pPr>
              <w:spacing w:after="0"/>
              <w:jc w:val="center"/>
              <w:rPr>
                <w:rFonts w:ascii="Arial" w:hAnsi="Arial" w:cs="Arial"/>
                <w:b/>
                <w:sz w:val="24"/>
                <w:szCs w:val="24"/>
              </w:rPr>
            </w:pPr>
            <w:r w:rsidRPr="000C0023">
              <w:rPr>
                <w:rFonts w:ascii="Arial" w:hAnsi="Arial" w:cs="Arial"/>
                <w:b/>
                <w:sz w:val="24"/>
                <w:szCs w:val="24"/>
              </w:rPr>
              <w:t>2021.g.</w:t>
            </w:r>
          </w:p>
        </w:tc>
        <w:tc>
          <w:tcPr>
            <w:tcW w:w="3096" w:type="dxa"/>
            <w:vAlign w:val="center"/>
          </w:tcPr>
          <w:p w:rsidR="0055489E" w:rsidRPr="000C0023" w:rsidRDefault="00E1115E" w:rsidP="0055489E">
            <w:pPr>
              <w:spacing w:after="0"/>
              <w:jc w:val="center"/>
              <w:rPr>
                <w:rFonts w:ascii="Arial" w:hAnsi="Arial" w:cs="Arial"/>
                <w:b/>
                <w:sz w:val="24"/>
                <w:szCs w:val="24"/>
              </w:rPr>
            </w:pPr>
            <w:r w:rsidRPr="000C0023">
              <w:rPr>
                <w:rFonts w:ascii="Arial" w:hAnsi="Arial" w:cs="Arial"/>
                <w:b/>
                <w:sz w:val="24"/>
                <w:szCs w:val="24"/>
              </w:rPr>
              <w:t>Plan po Rebalansu</w:t>
            </w:r>
          </w:p>
          <w:p w:rsidR="00E1115E" w:rsidRPr="000C0023" w:rsidRDefault="00E1115E" w:rsidP="0055489E">
            <w:pPr>
              <w:spacing w:after="0"/>
              <w:jc w:val="center"/>
              <w:rPr>
                <w:rFonts w:ascii="Arial" w:hAnsi="Arial" w:cs="Arial"/>
                <w:b/>
                <w:sz w:val="24"/>
                <w:szCs w:val="24"/>
              </w:rPr>
            </w:pPr>
            <w:r w:rsidRPr="000C0023">
              <w:rPr>
                <w:rFonts w:ascii="Arial" w:hAnsi="Arial" w:cs="Arial"/>
                <w:b/>
                <w:sz w:val="24"/>
                <w:szCs w:val="24"/>
              </w:rPr>
              <w:t xml:space="preserve"> 2021.g.</w:t>
            </w:r>
          </w:p>
        </w:tc>
      </w:tr>
      <w:tr w:rsidR="00E1115E" w:rsidRPr="000C0023" w:rsidTr="00CA76AE">
        <w:trPr>
          <w:jc w:val="center"/>
        </w:trPr>
        <w:tc>
          <w:tcPr>
            <w:tcW w:w="3583" w:type="dxa"/>
          </w:tcPr>
          <w:p w:rsidR="00E1115E" w:rsidRPr="000C0023" w:rsidRDefault="00E1115E" w:rsidP="0055489E">
            <w:pPr>
              <w:spacing w:after="0"/>
              <w:rPr>
                <w:rFonts w:ascii="Arial" w:hAnsi="Arial" w:cs="Arial"/>
                <w:sz w:val="24"/>
                <w:szCs w:val="24"/>
              </w:rPr>
            </w:pPr>
            <w:r w:rsidRPr="000C0023">
              <w:rPr>
                <w:rFonts w:ascii="Arial" w:hAnsi="Arial" w:cs="Arial"/>
                <w:sz w:val="24"/>
                <w:szCs w:val="24"/>
              </w:rPr>
              <w:t>Tekuća budžetska potrošnja</w:t>
            </w:r>
          </w:p>
        </w:tc>
        <w:tc>
          <w:tcPr>
            <w:tcW w:w="2757" w:type="dxa"/>
          </w:tcPr>
          <w:p w:rsidR="00E1115E" w:rsidRPr="000C0023" w:rsidRDefault="00E1115E" w:rsidP="0055489E">
            <w:pPr>
              <w:spacing w:after="0"/>
              <w:jc w:val="right"/>
              <w:rPr>
                <w:rFonts w:ascii="Arial" w:hAnsi="Arial" w:cs="Arial"/>
                <w:sz w:val="24"/>
                <w:szCs w:val="24"/>
              </w:rPr>
            </w:pPr>
            <w:r w:rsidRPr="000C0023">
              <w:rPr>
                <w:rFonts w:ascii="Arial" w:hAnsi="Arial" w:cs="Arial"/>
                <w:sz w:val="24"/>
                <w:szCs w:val="24"/>
              </w:rPr>
              <w:t>10.209.909,00</w:t>
            </w:r>
          </w:p>
        </w:tc>
        <w:tc>
          <w:tcPr>
            <w:tcW w:w="3096" w:type="dxa"/>
          </w:tcPr>
          <w:p w:rsidR="00E1115E" w:rsidRPr="000C0023" w:rsidRDefault="00E1115E" w:rsidP="0055489E">
            <w:pPr>
              <w:spacing w:after="0"/>
              <w:jc w:val="right"/>
              <w:rPr>
                <w:rFonts w:ascii="Arial" w:hAnsi="Arial" w:cs="Arial"/>
                <w:sz w:val="24"/>
                <w:szCs w:val="24"/>
              </w:rPr>
            </w:pPr>
            <w:r w:rsidRPr="000C0023">
              <w:rPr>
                <w:rFonts w:ascii="Arial" w:hAnsi="Arial" w:cs="Arial"/>
                <w:sz w:val="24"/>
                <w:szCs w:val="24"/>
              </w:rPr>
              <w:t>11.038.966,00</w:t>
            </w:r>
          </w:p>
        </w:tc>
      </w:tr>
      <w:tr w:rsidR="00E1115E" w:rsidRPr="000C0023" w:rsidTr="00CA76AE">
        <w:trPr>
          <w:jc w:val="center"/>
        </w:trPr>
        <w:tc>
          <w:tcPr>
            <w:tcW w:w="3583" w:type="dxa"/>
          </w:tcPr>
          <w:p w:rsidR="00E1115E" w:rsidRPr="000C0023" w:rsidRDefault="00E1115E" w:rsidP="0055489E">
            <w:pPr>
              <w:spacing w:after="0"/>
              <w:rPr>
                <w:rFonts w:ascii="Arial" w:hAnsi="Arial" w:cs="Arial"/>
                <w:sz w:val="24"/>
                <w:szCs w:val="24"/>
              </w:rPr>
            </w:pPr>
            <w:r w:rsidRPr="000C0023">
              <w:rPr>
                <w:rFonts w:ascii="Arial" w:hAnsi="Arial" w:cs="Arial"/>
                <w:sz w:val="24"/>
                <w:szCs w:val="24"/>
              </w:rPr>
              <w:t>Otplata duga</w:t>
            </w:r>
          </w:p>
        </w:tc>
        <w:tc>
          <w:tcPr>
            <w:tcW w:w="2757" w:type="dxa"/>
          </w:tcPr>
          <w:p w:rsidR="00E1115E" w:rsidRPr="000C0023" w:rsidRDefault="00E1115E" w:rsidP="0055489E">
            <w:pPr>
              <w:spacing w:after="0"/>
              <w:jc w:val="right"/>
              <w:rPr>
                <w:rFonts w:ascii="Arial" w:hAnsi="Arial" w:cs="Arial"/>
                <w:sz w:val="24"/>
                <w:szCs w:val="24"/>
              </w:rPr>
            </w:pPr>
            <w:r w:rsidRPr="000C0023">
              <w:rPr>
                <w:rFonts w:ascii="Arial" w:hAnsi="Arial" w:cs="Arial"/>
                <w:sz w:val="24"/>
                <w:szCs w:val="24"/>
              </w:rPr>
              <w:t>1.980.091,00</w:t>
            </w:r>
          </w:p>
        </w:tc>
        <w:tc>
          <w:tcPr>
            <w:tcW w:w="3096" w:type="dxa"/>
          </w:tcPr>
          <w:p w:rsidR="00E1115E" w:rsidRPr="000C0023" w:rsidRDefault="00E1115E" w:rsidP="0055489E">
            <w:pPr>
              <w:spacing w:after="0"/>
              <w:jc w:val="right"/>
              <w:rPr>
                <w:rFonts w:ascii="Arial" w:hAnsi="Arial" w:cs="Arial"/>
                <w:sz w:val="24"/>
                <w:szCs w:val="24"/>
              </w:rPr>
            </w:pPr>
            <w:r w:rsidRPr="000C0023">
              <w:rPr>
                <w:rFonts w:ascii="Arial" w:hAnsi="Arial" w:cs="Arial"/>
                <w:sz w:val="24"/>
                <w:szCs w:val="24"/>
              </w:rPr>
              <w:t>2.489.034,00</w:t>
            </w:r>
          </w:p>
        </w:tc>
      </w:tr>
      <w:tr w:rsidR="00E1115E" w:rsidRPr="000C0023" w:rsidTr="00CA76AE">
        <w:trPr>
          <w:jc w:val="center"/>
        </w:trPr>
        <w:tc>
          <w:tcPr>
            <w:tcW w:w="3583" w:type="dxa"/>
          </w:tcPr>
          <w:p w:rsidR="00E1115E" w:rsidRPr="000C0023" w:rsidRDefault="00E1115E" w:rsidP="0055489E">
            <w:pPr>
              <w:spacing w:after="0"/>
              <w:rPr>
                <w:rFonts w:ascii="Arial" w:hAnsi="Arial" w:cs="Arial"/>
                <w:sz w:val="24"/>
                <w:szCs w:val="24"/>
              </w:rPr>
            </w:pPr>
            <w:r w:rsidRPr="000C0023">
              <w:rPr>
                <w:rFonts w:ascii="Arial" w:hAnsi="Arial" w:cs="Arial"/>
                <w:sz w:val="24"/>
                <w:szCs w:val="24"/>
              </w:rPr>
              <w:t>Kapitalni izdaci</w:t>
            </w:r>
          </w:p>
        </w:tc>
        <w:tc>
          <w:tcPr>
            <w:tcW w:w="2757" w:type="dxa"/>
          </w:tcPr>
          <w:p w:rsidR="00E1115E" w:rsidRPr="000C0023" w:rsidRDefault="00E1115E" w:rsidP="0055489E">
            <w:pPr>
              <w:spacing w:after="0"/>
              <w:jc w:val="right"/>
              <w:rPr>
                <w:rFonts w:ascii="Arial" w:hAnsi="Arial" w:cs="Arial"/>
                <w:sz w:val="24"/>
                <w:szCs w:val="24"/>
              </w:rPr>
            </w:pPr>
            <w:r w:rsidRPr="000C0023">
              <w:rPr>
                <w:rFonts w:ascii="Arial" w:hAnsi="Arial" w:cs="Arial"/>
                <w:sz w:val="24"/>
                <w:szCs w:val="24"/>
              </w:rPr>
              <w:t>7.810.000,00</w:t>
            </w:r>
          </w:p>
        </w:tc>
        <w:tc>
          <w:tcPr>
            <w:tcW w:w="3096" w:type="dxa"/>
          </w:tcPr>
          <w:p w:rsidR="00E1115E" w:rsidRPr="000C0023" w:rsidRDefault="00E1115E" w:rsidP="0055489E">
            <w:pPr>
              <w:spacing w:after="0"/>
              <w:jc w:val="right"/>
              <w:rPr>
                <w:rFonts w:ascii="Arial" w:hAnsi="Arial" w:cs="Arial"/>
                <w:sz w:val="24"/>
                <w:szCs w:val="24"/>
              </w:rPr>
            </w:pPr>
            <w:r w:rsidRPr="000C0023">
              <w:rPr>
                <w:rFonts w:ascii="Arial" w:hAnsi="Arial" w:cs="Arial"/>
                <w:sz w:val="24"/>
                <w:szCs w:val="24"/>
              </w:rPr>
              <w:t>8.272.000,00</w:t>
            </w:r>
          </w:p>
        </w:tc>
      </w:tr>
      <w:tr w:rsidR="00E1115E" w:rsidRPr="000C0023" w:rsidTr="00CA76AE">
        <w:trPr>
          <w:jc w:val="center"/>
        </w:trPr>
        <w:tc>
          <w:tcPr>
            <w:tcW w:w="3583" w:type="dxa"/>
          </w:tcPr>
          <w:p w:rsidR="00E1115E" w:rsidRPr="000C0023" w:rsidRDefault="00E1115E" w:rsidP="0055489E">
            <w:pPr>
              <w:spacing w:after="0"/>
              <w:rPr>
                <w:rFonts w:ascii="Arial" w:hAnsi="Arial" w:cs="Arial"/>
                <w:b/>
                <w:sz w:val="24"/>
                <w:szCs w:val="24"/>
              </w:rPr>
            </w:pPr>
            <w:r w:rsidRPr="000C0023">
              <w:rPr>
                <w:rFonts w:ascii="Arial" w:hAnsi="Arial" w:cs="Arial"/>
                <w:b/>
                <w:sz w:val="24"/>
                <w:szCs w:val="24"/>
              </w:rPr>
              <w:t>UKUPNO:</w:t>
            </w:r>
          </w:p>
        </w:tc>
        <w:tc>
          <w:tcPr>
            <w:tcW w:w="2757" w:type="dxa"/>
          </w:tcPr>
          <w:p w:rsidR="00E1115E" w:rsidRPr="000C0023" w:rsidRDefault="00E1115E" w:rsidP="0055489E">
            <w:pPr>
              <w:spacing w:after="0"/>
              <w:jc w:val="right"/>
              <w:rPr>
                <w:rFonts w:ascii="Arial" w:hAnsi="Arial" w:cs="Arial"/>
                <w:b/>
                <w:sz w:val="24"/>
                <w:szCs w:val="24"/>
              </w:rPr>
            </w:pPr>
            <w:r w:rsidRPr="000C0023">
              <w:rPr>
                <w:rFonts w:ascii="Arial" w:hAnsi="Arial" w:cs="Arial"/>
                <w:b/>
                <w:sz w:val="24"/>
                <w:szCs w:val="24"/>
              </w:rPr>
              <w:t>20.000.000,00</w:t>
            </w:r>
          </w:p>
        </w:tc>
        <w:tc>
          <w:tcPr>
            <w:tcW w:w="3096" w:type="dxa"/>
          </w:tcPr>
          <w:p w:rsidR="00E1115E" w:rsidRPr="000C0023" w:rsidRDefault="00E1115E" w:rsidP="0055489E">
            <w:pPr>
              <w:spacing w:after="0"/>
              <w:jc w:val="right"/>
              <w:rPr>
                <w:rFonts w:ascii="Arial" w:hAnsi="Arial" w:cs="Arial"/>
                <w:b/>
                <w:sz w:val="24"/>
                <w:szCs w:val="24"/>
              </w:rPr>
            </w:pPr>
            <w:r w:rsidRPr="000C0023">
              <w:rPr>
                <w:rFonts w:ascii="Arial" w:hAnsi="Arial" w:cs="Arial"/>
                <w:b/>
                <w:sz w:val="24"/>
                <w:szCs w:val="24"/>
              </w:rPr>
              <w:t>21.800.000,00</w:t>
            </w:r>
          </w:p>
        </w:tc>
      </w:tr>
    </w:tbl>
    <w:p w:rsidR="00E1115E" w:rsidRPr="000C0023" w:rsidRDefault="00E1115E" w:rsidP="0055489E">
      <w:pPr>
        <w:spacing w:after="0"/>
        <w:jc w:val="both"/>
        <w:rPr>
          <w:rFonts w:ascii="Arial" w:hAnsi="Arial" w:cs="Arial"/>
          <w:sz w:val="24"/>
          <w:szCs w:val="24"/>
        </w:rPr>
      </w:pPr>
    </w:p>
    <w:p w:rsidR="00E1115E" w:rsidRDefault="00E1115E" w:rsidP="00CA76AE">
      <w:pPr>
        <w:spacing w:after="0"/>
        <w:jc w:val="both"/>
        <w:rPr>
          <w:rFonts w:ascii="Arial" w:hAnsi="Arial" w:cs="Arial"/>
          <w:sz w:val="24"/>
          <w:szCs w:val="24"/>
        </w:rPr>
      </w:pPr>
      <w:proofErr w:type="gramStart"/>
      <w:r w:rsidRPr="000C0023">
        <w:rPr>
          <w:rFonts w:ascii="Arial" w:hAnsi="Arial" w:cs="Arial"/>
          <w:sz w:val="24"/>
          <w:szCs w:val="24"/>
        </w:rPr>
        <w:t>Odlukom o izmjenama i dopunama Odluke o Budžetu Opštine Bar za 2021.</w:t>
      </w:r>
      <w:proofErr w:type="gramEnd"/>
      <w:r w:rsidRPr="000C0023">
        <w:rPr>
          <w:rFonts w:ascii="Arial" w:hAnsi="Arial" w:cs="Arial"/>
          <w:sz w:val="24"/>
          <w:szCs w:val="24"/>
        </w:rPr>
        <w:t xml:space="preserve"> godinu, odnosno Rebalansom ukupno planirani primici u iznosu od 21.800.000,00 € raspoređeni su na tekuću budžetsku potrošnju u iznosu od 11.038.966,00 €, otplatu duga u iznosu od 2.489.034,00 € i kapitalne izdatke u iznosu od 8.272.000,00 €.</w:t>
      </w:r>
    </w:p>
    <w:p w:rsidR="00CA76AE" w:rsidRPr="000C0023" w:rsidRDefault="00CA76AE" w:rsidP="00CA76AE">
      <w:pPr>
        <w:spacing w:after="0"/>
        <w:jc w:val="both"/>
        <w:rPr>
          <w:rFonts w:ascii="Arial" w:hAnsi="Arial" w:cs="Arial"/>
          <w:sz w:val="24"/>
          <w:szCs w:val="24"/>
        </w:rPr>
      </w:pPr>
    </w:p>
    <w:p w:rsidR="00E1115E" w:rsidRPr="000C0023" w:rsidRDefault="00E1115E" w:rsidP="00CA76AE">
      <w:pPr>
        <w:spacing w:after="0"/>
        <w:jc w:val="both"/>
        <w:rPr>
          <w:rFonts w:ascii="Arial" w:hAnsi="Arial" w:cs="Arial"/>
          <w:sz w:val="24"/>
          <w:szCs w:val="24"/>
        </w:rPr>
      </w:pPr>
      <w:r w:rsidRPr="000C0023">
        <w:rPr>
          <w:rFonts w:ascii="Arial" w:hAnsi="Arial" w:cs="Arial"/>
          <w:sz w:val="24"/>
          <w:szCs w:val="24"/>
        </w:rPr>
        <w:t>U sledećoj tabeli prikazana je rebalansna projekcija budžetskih izdataka:</w:t>
      </w:r>
    </w:p>
    <w:tbl>
      <w:tblPr>
        <w:tblW w:w="93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40"/>
        <w:gridCol w:w="4051"/>
        <w:gridCol w:w="1720"/>
        <w:gridCol w:w="1720"/>
        <w:gridCol w:w="1240"/>
      </w:tblGrid>
      <w:tr w:rsidR="00E1115E" w:rsidRPr="00EF0173" w:rsidTr="00B01FEF">
        <w:trPr>
          <w:trHeight w:val="615"/>
          <w:jc w:val="center"/>
        </w:trPr>
        <w:tc>
          <w:tcPr>
            <w:tcW w:w="640" w:type="dxa"/>
            <w:shd w:val="clear" w:color="auto" w:fill="CCC0D9"/>
            <w:noWrap/>
            <w:vAlign w:val="center"/>
            <w:hideMark/>
          </w:tcPr>
          <w:p w:rsidR="00E1115E" w:rsidRPr="00EF0173" w:rsidRDefault="00E1115E" w:rsidP="0055489E">
            <w:pPr>
              <w:spacing w:after="0"/>
              <w:jc w:val="center"/>
              <w:rPr>
                <w:rFonts w:ascii="Arial" w:hAnsi="Arial" w:cs="Arial"/>
                <w:b/>
                <w:bCs/>
              </w:rPr>
            </w:pPr>
            <w:r w:rsidRPr="00EF0173">
              <w:rPr>
                <w:rFonts w:ascii="Arial" w:hAnsi="Arial" w:cs="Arial"/>
                <w:b/>
                <w:bCs/>
              </w:rPr>
              <w:t>r.b.</w:t>
            </w:r>
          </w:p>
        </w:tc>
        <w:tc>
          <w:tcPr>
            <w:tcW w:w="4051" w:type="dxa"/>
            <w:shd w:val="clear" w:color="auto" w:fill="CCC0D9"/>
            <w:noWrap/>
            <w:vAlign w:val="center"/>
            <w:hideMark/>
          </w:tcPr>
          <w:p w:rsidR="00E1115E" w:rsidRPr="00EF0173" w:rsidRDefault="00E1115E" w:rsidP="0055489E">
            <w:pPr>
              <w:spacing w:after="0"/>
              <w:jc w:val="center"/>
              <w:rPr>
                <w:rFonts w:ascii="Arial" w:hAnsi="Arial" w:cs="Arial"/>
                <w:b/>
                <w:bCs/>
              </w:rPr>
            </w:pPr>
            <w:r w:rsidRPr="00EF0173">
              <w:rPr>
                <w:rFonts w:ascii="Arial" w:hAnsi="Arial" w:cs="Arial"/>
                <w:b/>
                <w:bCs/>
              </w:rPr>
              <w:t>O P I S</w:t>
            </w:r>
          </w:p>
        </w:tc>
        <w:tc>
          <w:tcPr>
            <w:tcW w:w="1720" w:type="dxa"/>
            <w:shd w:val="clear" w:color="auto" w:fill="CCC0D9"/>
            <w:vAlign w:val="center"/>
            <w:hideMark/>
          </w:tcPr>
          <w:p w:rsidR="00E1115E" w:rsidRPr="00EF0173" w:rsidRDefault="00E1115E" w:rsidP="0055489E">
            <w:pPr>
              <w:spacing w:after="0"/>
              <w:jc w:val="center"/>
              <w:rPr>
                <w:rFonts w:ascii="Arial" w:hAnsi="Arial" w:cs="Arial"/>
                <w:b/>
                <w:bCs/>
              </w:rPr>
            </w:pPr>
            <w:r w:rsidRPr="00EF0173">
              <w:rPr>
                <w:rFonts w:ascii="Arial" w:hAnsi="Arial" w:cs="Arial"/>
                <w:b/>
                <w:bCs/>
              </w:rPr>
              <w:t>Budžet za  2021.g.</w:t>
            </w:r>
          </w:p>
        </w:tc>
        <w:tc>
          <w:tcPr>
            <w:tcW w:w="1720" w:type="dxa"/>
            <w:shd w:val="clear" w:color="auto" w:fill="CCC0D9"/>
            <w:vAlign w:val="center"/>
            <w:hideMark/>
          </w:tcPr>
          <w:p w:rsidR="00E1115E" w:rsidRPr="00EF0173" w:rsidRDefault="00E1115E" w:rsidP="0055489E">
            <w:pPr>
              <w:spacing w:after="0"/>
              <w:jc w:val="center"/>
              <w:rPr>
                <w:rFonts w:ascii="Arial" w:hAnsi="Arial" w:cs="Arial"/>
                <w:b/>
                <w:bCs/>
              </w:rPr>
            </w:pPr>
            <w:r w:rsidRPr="00EF0173">
              <w:rPr>
                <w:rFonts w:ascii="Arial" w:hAnsi="Arial" w:cs="Arial"/>
                <w:b/>
                <w:bCs/>
              </w:rPr>
              <w:t>Rebalans za  2021.g.</w:t>
            </w:r>
          </w:p>
        </w:tc>
        <w:tc>
          <w:tcPr>
            <w:tcW w:w="1240" w:type="dxa"/>
            <w:shd w:val="clear" w:color="auto" w:fill="CCC0D9"/>
            <w:vAlign w:val="center"/>
            <w:hideMark/>
          </w:tcPr>
          <w:p w:rsidR="00E1115E" w:rsidRPr="00EF0173" w:rsidRDefault="00E1115E" w:rsidP="0055489E">
            <w:pPr>
              <w:spacing w:after="0"/>
              <w:jc w:val="center"/>
              <w:rPr>
                <w:rFonts w:ascii="Arial" w:hAnsi="Arial" w:cs="Arial"/>
                <w:b/>
                <w:bCs/>
              </w:rPr>
            </w:pPr>
            <w:r w:rsidRPr="00EF0173">
              <w:rPr>
                <w:rFonts w:ascii="Arial" w:hAnsi="Arial" w:cs="Arial"/>
                <w:b/>
                <w:bCs/>
              </w:rPr>
              <w:t>Index</w:t>
            </w:r>
          </w:p>
        </w:tc>
      </w:tr>
      <w:tr w:rsidR="00E1115E" w:rsidRPr="00EF0173" w:rsidTr="00B01FEF">
        <w:trPr>
          <w:trHeight w:hRule="exact" w:val="68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Bruto zarade i doprinosi na teret poslodavca</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3.327.200,00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3.558.700,00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106,96</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2.</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Ostala lična primanja</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215.000,00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230.000,00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106,98</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3.</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 xml:space="preserve">Rashodi za materijal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664.000,00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674.000,00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101,51</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4.</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Rashodi za usluge</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592.100,00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611.100,00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103,21</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5.</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Rashodi za tekuće održavanje</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207.000,00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307.000,00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148,31</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6.</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Renta</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20.000,00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5.000,00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25,00</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7.</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Subvencije</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355.000,00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355.000,00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100,00</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8.</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Ostali izdaci</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470.000,00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357.400,00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76,04</w:t>
            </w:r>
          </w:p>
        </w:tc>
      </w:tr>
      <w:tr w:rsidR="00E1115E" w:rsidRPr="00EF0173" w:rsidTr="00B01FEF">
        <w:trPr>
          <w:trHeigh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9.</w:t>
            </w:r>
          </w:p>
        </w:tc>
        <w:tc>
          <w:tcPr>
            <w:tcW w:w="4051" w:type="dxa"/>
            <w:shd w:val="clear" w:color="auto" w:fill="auto"/>
            <w:vAlign w:val="center"/>
            <w:hideMark/>
          </w:tcPr>
          <w:p w:rsidR="00E1115E" w:rsidRPr="00EA048B" w:rsidRDefault="00E1115E" w:rsidP="0055489E">
            <w:pPr>
              <w:spacing w:after="0"/>
              <w:rPr>
                <w:rFonts w:ascii="Arial" w:hAnsi="Arial" w:cs="Arial"/>
                <w:bCs/>
                <w:lang w:val="es-US"/>
              </w:rPr>
            </w:pPr>
            <w:r w:rsidRPr="00EA048B">
              <w:rPr>
                <w:rFonts w:ascii="Arial" w:hAnsi="Arial" w:cs="Arial"/>
                <w:bCs/>
                <w:lang w:val="es-US"/>
              </w:rPr>
              <w:t>Prava iz oblasti socijalne zaštite</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A048B">
              <w:rPr>
                <w:rFonts w:ascii="Arial" w:hAnsi="Arial" w:cs="Arial"/>
                <w:lang w:val="es-US"/>
              </w:rPr>
              <w:t xml:space="preserve">        </w:t>
            </w:r>
            <w:r w:rsidRPr="00EF0173">
              <w:rPr>
                <w:rFonts w:ascii="Arial" w:hAnsi="Arial" w:cs="Arial"/>
              </w:rPr>
              <w:t xml:space="preserve">16.000,00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26.000,00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162,50</w:t>
            </w:r>
          </w:p>
        </w:tc>
      </w:tr>
      <w:tr w:rsidR="00E1115E" w:rsidRPr="00EF0173" w:rsidTr="00B01FEF">
        <w:trPr>
          <w:trHeight w:val="624"/>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10.</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Transferi institucijama, pojedincima, nevladinim i javnom sektoru</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1.615.609,00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2.019.166,00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124,98</w:t>
            </w:r>
          </w:p>
        </w:tc>
      </w:tr>
      <w:tr w:rsidR="00E1115E" w:rsidRPr="00EF0173" w:rsidTr="00B01FEF">
        <w:trPr>
          <w:trHeight w:hRule="exac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11.</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Ostali transferi</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2.578.000,00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2.645.600,00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102,62</w:t>
            </w:r>
          </w:p>
        </w:tc>
      </w:tr>
      <w:tr w:rsidR="00E1115E" w:rsidRPr="00EF0173" w:rsidTr="00B01FEF">
        <w:trPr>
          <w:trHeight w:hRule="exac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12.</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Kapitalni izdaci</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7.810.000,00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8.272.000,00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105,92</w:t>
            </w:r>
          </w:p>
        </w:tc>
      </w:tr>
      <w:tr w:rsidR="00E1115E" w:rsidRPr="00EF0173" w:rsidTr="00B01FEF">
        <w:trPr>
          <w:trHeight w:hRule="exact" w:val="68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13.</w:t>
            </w:r>
          </w:p>
        </w:tc>
        <w:tc>
          <w:tcPr>
            <w:tcW w:w="4051" w:type="dxa"/>
            <w:shd w:val="clear" w:color="000000" w:fill="FFFFFF"/>
            <w:vAlign w:val="center"/>
            <w:hideMark/>
          </w:tcPr>
          <w:p w:rsidR="00E1115E" w:rsidRPr="00EF0173" w:rsidRDefault="00E1115E" w:rsidP="0055489E">
            <w:pPr>
              <w:spacing w:after="0"/>
              <w:rPr>
                <w:rFonts w:ascii="Arial" w:hAnsi="Arial" w:cs="Arial"/>
                <w:bCs/>
              </w:rPr>
            </w:pPr>
            <w:r w:rsidRPr="00EF0173">
              <w:rPr>
                <w:rFonts w:ascii="Arial" w:hAnsi="Arial" w:cs="Arial"/>
                <w:bCs/>
              </w:rPr>
              <w:t>Otplata kredita rezidentima - kredit KfW banka</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300.000,00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810.000,00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270,00</w:t>
            </w:r>
          </w:p>
        </w:tc>
      </w:tr>
      <w:tr w:rsidR="00E1115E" w:rsidRPr="00EF0173" w:rsidTr="00B01FEF">
        <w:trPr>
          <w:trHeight w:hRule="exac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14.</w:t>
            </w:r>
          </w:p>
        </w:tc>
        <w:tc>
          <w:tcPr>
            <w:tcW w:w="4051" w:type="dxa"/>
            <w:shd w:val="clear" w:color="auto" w:fill="auto"/>
            <w:vAlign w:val="center"/>
            <w:hideMark/>
          </w:tcPr>
          <w:p w:rsidR="00E1115E" w:rsidRPr="00EA048B" w:rsidRDefault="00E1115E" w:rsidP="0055489E">
            <w:pPr>
              <w:spacing w:after="0"/>
              <w:rPr>
                <w:rFonts w:ascii="Arial" w:hAnsi="Arial" w:cs="Arial"/>
                <w:bCs/>
                <w:lang w:val="es-US"/>
              </w:rPr>
            </w:pPr>
            <w:r w:rsidRPr="00EA048B">
              <w:rPr>
                <w:rFonts w:ascii="Arial" w:hAnsi="Arial" w:cs="Arial"/>
                <w:bCs/>
                <w:lang w:val="es-US"/>
              </w:rPr>
              <w:t>Otplata obaveza iz prethodnog perioda</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A048B">
              <w:rPr>
                <w:rFonts w:ascii="Arial" w:hAnsi="Arial" w:cs="Arial"/>
                <w:lang w:val="es-US"/>
              </w:rPr>
              <w:t xml:space="preserve">   </w:t>
            </w:r>
            <w:r w:rsidRPr="00EF0173">
              <w:rPr>
                <w:rFonts w:ascii="Arial" w:hAnsi="Arial" w:cs="Arial"/>
              </w:rPr>
              <w:t xml:space="preserve">1.680.091,00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1.679.034,00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99,94</w:t>
            </w:r>
          </w:p>
        </w:tc>
      </w:tr>
      <w:tr w:rsidR="00E1115E" w:rsidRPr="00EF0173" w:rsidTr="00B01FEF">
        <w:trPr>
          <w:trHeight w:hRule="exact" w:val="340"/>
          <w:jc w:val="center"/>
        </w:trPr>
        <w:tc>
          <w:tcPr>
            <w:tcW w:w="640" w:type="dxa"/>
            <w:shd w:val="clear" w:color="auto" w:fill="auto"/>
            <w:noWrap/>
            <w:vAlign w:val="center"/>
            <w:hideMark/>
          </w:tcPr>
          <w:p w:rsidR="00E1115E" w:rsidRPr="00EF0173" w:rsidRDefault="00E1115E" w:rsidP="0055489E">
            <w:pPr>
              <w:spacing w:after="0"/>
              <w:jc w:val="center"/>
              <w:rPr>
                <w:rFonts w:ascii="Arial" w:hAnsi="Arial" w:cs="Arial"/>
              </w:rPr>
            </w:pPr>
            <w:r w:rsidRPr="00EF0173">
              <w:rPr>
                <w:rFonts w:ascii="Arial" w:hAnsi="Arial" w:cs="Arial"/>
              </w:rPr>
              <w:t>15.</w:t>
            </w:r>
          </w:p>
        </w:tc>
        <w:tc>
          <w:tcPr>
            <w:tcW w:w="4051" w:type="dxa"/>
            <w:shd w:val="clear" w:color="auto" w:fill="auto"/>
            <w:vAlign w:val="center"/>
            <w:hideMark/>
          </w:tcPr>
          <w:p w:rsidR="00E1115E" w:rsidRPr="00EF0173" w:rsidRDefault="00E1115E" w:rsidP="0055489E">
            <w:pPr>
              <w:spacing w:after="0"/>
              <w:rPr>
                <w:rFonts w:ascii="Arial" w:hAnsi="Arial" w:cs="Arial"/>
                <w:bCs/>
              </w:rPr>
            </w:pPr>
            <w:r w:rsidRPr="00EF0173">
              <w:rPr>
                <w:rFonts w:ascii="Arial" w:hAnsi="Arial" w:cs="Arial"/>
                <w:bCs/>
              </w:rPr>
              <w:t>Rezerve</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150.000,00 </w:t>
            </w:r>
          </w:p>
        </w:tc>
        <w:tc>
          <w:tcPr>
            <w:tcW w:w="172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 xml:space="preserve">      250.000,00 </w:t>
            </w:r>
          </w:p>
        </w:tc>
        <w:tc>
          <w:tcPr>
            <w:tcW w:w="1240" w:type="dxa"/>
            <w:shd w:val="clear" w:color="auto" w:fill="auto"/>
            <w:noWrap/>
            <w:vAlign w:val="center"/>
            <w:hideMark/>
          </w:tcPr>
          <w:p w:rsidR="00E1115E" w:rsidRPr="00EF0173" w:rsidRDefault="00E1115E" w:rsidP="0055489E">
            <w:pPr>
              <w:spacing w:after="0"/>
              <w:jc w:val="right"/>
              <w:rPr>
                <w:rFonts w:ascii="Arial" w:hAnsi="Arial" w:cs="Arial"/>
              </w:rPr>
            </w:pPr>
            <w:r w:rsidRPr="00EF0173">
              <w:rPr>
                <w:rFonts w:ascii="Arial" w:hAnsi="Arial" w:cs="Arial"/>
              </w:rPr>
              <w:t>166,67</w:t>
            </w:r>
          </w:p>
        </w:tc>
      </w:tr>
      <w:tr w:rsidR="00E1115E" w:rsidRPr="00EF0173" w:rsidTr="00B01FEF">
        <w:trPr>
          <w:trHeight w:val="375"/>
          <w:jc w:val="center"/>
        </w:trPr>
        <w:tc>
          <w:tcPr>
            <w:tcW w:w="640" w:type="dxa"/>
            <w:shd w:val="clear" w:color="auto" w:fill="CCC0D9"/>
            <w:noWrap/>
            <w:vAlign w:val="center"/>
            <w:hideMark/>
          </w:tcPr>
          <w:p w:rsidR="00E1115E" w:rsidRPr="00EF0173" w:rsidRDefault="00E1115E" w:rsidP="0055489E">
            <w:pPr>
              <w:spacing w:after="0"/>
              <w:jc w:val="center"/>
              <w:rPr>
                <w:rFonts w:ascii="Arial" w:hAnsi="Arial" w:cs="Arial"/>
              </w:rPr>
            </w:pPr>
          </w:p>
        </w:tc>
        <w:tc>
          <w:tcPr>
            <w:tcW w:w="4051" w:type="dxa"/>
            <w:shd w:val="clear" w:color="auto" w:fill="CCC0D9"/>
            <w:noWrap/>
            <w:vAlign w:val="center"/>
            <w:hideMark/>
          </w:tcPr>
          <w:p w:rsidR="00E1115E" w:rsidRPr="00EF0173" w:rsidRDefault="00E1115E" w:rsidP="0055489E">
            <w:pPr>
              <w:spacing w:after="0"/>
              <w:jc w:val="center"/>
              <w:rPr>
                <w:rFonts w:ascii="Arial" w:hAnsi="Arial" w:cs="Arial"/>
                <w:b/>
                <w:bCs/>
              </w:rPr>
            </w:pPr>
            <w:r w:rsidRPr="00EF0173">
              <w:rPr>
                <w:rFonts w:ascii="Arial" w:hAnsi="Arial" w:cs="Arial"/>
                <w:b/>
                <w:bCs/>
              </w:rPr>
              <w:t>U K U P N O :</w:t>
            </w:r>
          </w:p>
        </w:tc>
        <w:tc>
          <w:tcPr>
            <w:tcW w:w="1720" w:type="dxa"/>
            <w:shd w:val="clear" w:color="auto" w:fill="CCC0D9"/>
            <w:noWrap/>
            <w:vAlign w:val="center"/>
            <w:hideMark/>
          </w:tcPr>
          <w:p w:rsidR="00E1115E" w:rsidRPr="00EF0173" w:rsidRDefault="00E1115E" w:rsidP="00AA394B">
            <w:pPr>
              <w:spacing w:after="0"/>
              <w:jc w:val="right"/>
              <w:rPr>
                <w:rFonts w:ascii="Arial" w:hAnsi="Arial" w:cs="Arial"/>
                <w:b/>
                <w:bCs/>
              </w:rPr>
            </w:pPr>
            <w:r w:rsidRPr="00EF0173">
              <w:rPr>
                <w:rFonts w:ascii="Arial" w:hAnsi="Arial" w:cs="Arial"/>
                <w:b/>
                <w:bCs/>
              </w:rPr>
              <w:t>20.000.000,00</w:t>
            </w:r>
          </w:p>
        </w:tc>
        <w:tc>
          <w:tcPr>
            <w:tcW w:w="1720" w:type="dxa"/>
            <w:shd w:val="clear" w:color="auto" w:fill="CCC0D9"/>
            <w:noWrap/>
            <w:vAlign w:val="center"/>
            <w:hideMark/>
          </w:tcPr>
          <w:p w:rsidR="00E1115E" w:rsidRPr="00EF0173" w:rsidRDefault="00E1115E" w:rsidP="00AA394B">
            <w:pPr>
              <w:spacing w:after="0"/>
              <w:jc w:val="right"/>
              <w:rPr>
                <w:rFonts w:ascii="Arial" w:hAnsi="Arial" w:cs="Arial"/>
                <w:b/>
                <w:bCs/>
              </w:rPr>
            </w:pPr>
            <w:r w:rsidRPr="00EF0173">
              <w:rPr>
                <w:rFonts w:ascii="Arial" w:hAnsi="Arial" w:cs="Arial"/>
                <w:b/>
                <w:bCs/>
              </w:rPr>
              <w:t>21.800.000,00</w:t>
            </w:r>
          </w:p>
        </w:tc>
        <w:tc>
          <w:tcPr>
            <w:tcW w:w="1240" w:type="dxa"/>
            <w:shd w:val="clear" w:color="auto" w:fill="CCC0D9"/>
            <w:noWrap/>
            <w:vAlign w:val="center"/>
            <w:hideMark/>
          </w:tcPr>
          <w:p w:rsidR="00E1115E" w:rsidRPr="00EF0173" w:rsidRDefault="00E1115E" w:rsidP="0055489E">
            <w:pPr>
              <w:spacing w:after="0"/>
              <w:jc w:val="right"/>
              <w:rPr>
                <w:rFonts w:ascii="Arial" w:hAnsi="Arial" w:cs="Arial"/>
                <w:b/>
                <w:bCs/>
              </w:rPr>
            </w:pPr>
            <w:r w:rsidRPr="00EF0173">
              <w:rPr>
                <w:rFonts w:ascii="Arial" w:hAnsi="Arial" w:cs="Arial"/>
                <w:b/>
                <w:bCs/>
              </w:rPr>
              <w:t>109,00</w:t>
            </w:r>
          </w:p>
        </w:tc>
      </w:tr>
    </w:tbl>
    <w:p w:rsidR="006F40B2" w:rsidRPr="00EF0173" w:rsidRDefault="006F40B2" w:rsidP="00E1115E">
      <w:pPr>
        <w:jc w:val="both"/>
        <w:rPr>
          <w:rFonts w:ascii="Arial" w:hAnsi="Arial" w:cs="Arial"/>
        </w:rPr>
      </w:pPr>
    </w:p>
    <w:p w:rsidR="00E1115E" w:rsidRPr="000C0023" w:rsidRDefault="00E1115E" w:rsidP="00CA76AE">
      <w:pPr>
        <w:numPr>
          <w:ilvl w:val="0"/>
          <w:numId w:val="1"/>
        </w:numPr>
        <w:spacing w:after="0" w:line="240" w:lineRule="auto"/>
        <w:jc w:val="both"/>
        <w:rPr>
          <w:rFonts w:ascii="Arial" w:hAnsi="Arial" w:cs="Arial"/>
          <w:sz w:val="24"/>
          <w:szCs w:val="24"/>
        </w:rPr>
      </w:pPr>
      <w:r w:rsidRPr="000C0023">
        <w:rPr>
          <w:rFonts w:ascii="Arial" w:hAnsi="Arial" w:cs="Arial"/>
          <w:sz w:val="24"/>
          <w:szCs w:val="24"/>
        </w:rPr>
        <w:lastRenderedPageBreak/>
        <w:t xml:space="preserve">Izdaci za </w:t>
      </w:r>
      <w:r w:rsidRPr="000C0023">
        <w:rPr>
          <w:rFonts w:ascii="Arial" w:hAnsi="Arial" w:cs="Arial"/>
          <w:b/>
          <w:sz w:val="24"/>
          <w:szCs w:val="24"/>
        </w:rPr>
        <w:t xml:space="preserve">bruto zarade i doprinose na teret poslodavca </w:t>
      </w:r>
      <w:r w:rsidRPr="000C0023">
        <w:rPr>
          <w:rFonts w:ascii="Arial" w:hAnsi="Arial" w:cs="Arial"/>
          <w:sz w:val="24"/>
          <w:szCs w:val="24"/>
        </w:rPr>
        <w:t>iznose 3.558.700</w:t>
      </w:r>
      <w:proofErr w:type="gramStart"/>
      <w:r w:rsidRPr="000C0023">
        <w:rPr>
          <w:rFonts w:ascii="Arial" w:hAnsi="Arial" w:cs="Arial"/>
          <w:sz w:val="24"/>
          <w:szCs w:val="24"/>
        </w:rPr>
        <w:t>,00</w:t>
      </w:r>
      <w:proofErr w:type="gramEnd"/>
      <w:r w:rsidRPr="000C0023">
        <w:rPr>
          <w:rFonts w:ascii="Arial" w:hAnsi="Arial" w:cs="Arial"/>
          <w:b/>
          <w:sz w:val="24"/>
          <w:szCs w:val="24"/>
        </w:rPr>
        <w:t xml:space="preserve"> </w:t>
      </w:r>
      <w:r w:rsidRPr="000C0023">
        <w:rPr>
          <w:rFonts w:ascii="Arial" w:hAnsi="Arial" w:cs="Arial"/>
          <w:sz w:val="24"/>
          <w:szCs w:val="24"/>
        </w:rPr>
        <w:t xml:space="preserve">€ i veći su za 6,96% u odnosu na planirane Budžetom za 2021. </w:t>
      </w:r>
      <w:proofErr w:type="gramStart"/>
      <w:r w:rsidRPr="000C0023">
        <w:rPr>
          <w:rFonts w:ascii="Arial" w:hAnsi="Arial" w:cs="Arial"/>
          <w:sz w:val="24"/>
          <w:szCs w:val="24"/>
        </w:rPr>
        <w:t>godinu</w:t>
      </w:r>
      <w:proofErr w:type="gramEnd"/>
      <w:r w:rsidRPr="000C0023">
        <w:rPr>
          <w:rFonts w:ascii="Arial" w:hAnsi="Arial" w:cs="Arial"/>
          <w:sz w:val="24"/>
          <w:szCs w:val="24"/>
        </w:rPr>
        <w:t>.</w:t>
      </w:r>
    </w:p>
    <w:p w:rsidR="00E1115E" w:rsidRDefault="00E1115E" w:rsidP="00CA76AE">
      <w:pPr>
        <w:spacing w:after="0"/>
        <w:ind w:left="720"/>
        <w:jc w:val="both"/>
        <w:rPr>
          <w:rFonts w:ascii="Arial" w:hAnsi="Arial" w:cs="Arial"/>
          <w:sz w:val="24"/>
          <w:szCs w:val="24"/>
        </w:rPr>
      </w:pPr>
      <w:r w:rsidRPr="000C0023">
        <w:rPr>
          <w:rFonts w:ascii="Arial" w:hAnsi="Arial" w:cs="Arial"/>
          <w:sz w:val="24"/>
          <w:szCs w:val="24"/>
        </w:rPr>
        <w:t xml:space="preserve">Povećanje zarada uslovljeno je usaglašavanjem zarada kod određenih potrošačkih jedinica, kod kojih je postojala potreba za istim, iz razloga interne preraspodjele zaposlenih u skladu </w:t>
      </w:r>
      <w:proofErr w:type="gramStart"/>
      <w:r w:rsidRPr="000C0023">
        <w:rPr>
          <w:rFonts w:ascii="Arial" w:hAnsi="Arial" w:cs="Arial"/>
          <w:sz w:val="24"/>
          <w:szCs w:val="24"/>
        </w:rPr>
        <w:t>sa</w:t>
      </w:r>
      <w:proofErr w:type="gramEnd"/>
      <w:r w:rsidRPr="000C0023">
        <w:rPr>
          <w:rFonts w:ascii="Arial" w:hAnsi="Arial" w:cs="Arial"/>
          <w:sz w:val="24"/>
          <w:szCs w:val="24"/>
        </w:rPr>
        <w:t xml:space="preserve"> sistematizacijama, te isplate prekovremenih sati uslijed nepredviđenih okolnosti.</w:t>
      </w:r>
    </w:p>
    <w:p w:rsidR="00CA76AE" w:rsidRPr="000A6032" w:rsidRDefault="00CA76AE" w:rsidP="00CA76AE">
      <w:pPr>
        <w:spacing w:after="0"/>
        <w:ind w:left="720"/>
        <w:jc w:val="both"/>
        <w:rPr>
          <w:rFonts w:ascii="Arial" w:hAnsi="Arial" w:cs="Arial"/>
          <w:sz w:val="4"/>
          <w:szCs w:val="4"/>
        </w:rPr>
      </w:pPr>
    </w:p>
    <w:p w:rsidR="00E1115E" w:rsidRPr="00EA048B" w:rsidRDefault="00E1115E" w:rsidP="00CA76AE">
      <w:pPr>
        <w:numPr>
          <w:ilvl w:val="0"/>
          <w:numId w:val="1"/>
        </w:numPr>
        <w:spacing w:after="0" w:line="240" w:lineRule="auto"/>
        <w:jc w:val="both"/>
        <w:rPr>
          <w:rFonts w:ascii="Arial" w:hAnsi="Arial" w:cs="Arial"/>
          <w:sz w:val="24"/>
          <w:szCs w:val="24"/>
          <w:lang w:val="es-US"/>
        </w:rPr>
      </w:pPr>
      <w:r w:rsidRPr="00EA048B">
        <w:rPr>
          <w:rFonts w:ascii="Arial" w:hAnsi="Arial" w:cs="Arial"/>
          <w:sz w:val="24"/>
          <w:szCs w:val="24"/>
          <w:lang w:val="es-US"/>
        </w:rPr>
        <w:t xml:space="preserve">Izdaci za </w:t>
      </w:r>
      <w:r w:rsidRPr="00EA048B">
        <w:rPr>
          <w:rFonts w:ascii="Arial" w:hAnsi="Arial" w:cs="Arial"/>
          <w:b/>
          <w:sz w:val="24"/>
          <w:szCs w:val="24"/>
          <w:lang w:val="es-US"/>
        </w:rPr>
        <w:t>ostala lična primanja</w:t>
      </w:r>
      <w:r w:rsidRPr="00EA048B">
        <w:rPr>
          <w:rFonts w:ascii="Arial" w:hAnsi="Arial" w:cs="Arial"/>
          <w:sz w:val="24"/>
          <w:szCs w:val="24"/>
          <w:lang w:val="es-US"/>
        </w:rPr>
        <w:t xml:space="preserve"> veći su u odnosu na planirane za 6,98% ili sa  </w:t>
      </w:r>
      <w:r w:rsidR="006F40B2" w:rsidRPr="00EA048B">
        <w:rPr>
          <w:rFonts w:ascii="Arial" w:hAnsi="Arial" w:cs="Arial"/>
          <w:sz w:val="24"/>
          <w:szCs w:val="24"/>
          <w:lang w:val="es-US"/>
        </w:rPr>
        <w:t xml:space="preserve">  </w:t>
      </w:r>
      <w:r w:rsidRPr="00EA048B">
        <w:rPr>
          <w:rFonts w:ascii="Arial" w:hAnsi="Arial" w:cs="Arial"/>
          <w:sz w:val="24"/>
          <w:szCs w:val="24"/>
          <w:lang w:val="es-US"/>
        </w:rPr>
        <w:t>215.000,00 € na 230.000,00 €.</w:t>
      </w:r>
    </w:p>
    <w:p w:rsidR="00E1115E" w:rsidRPr="00EA048B" w:rsidRDefault="00E1115E" w:rsidP="00CA76AE">
      <w:pPr>
        <w:spacing w:after="0"/>
        <w:ind w:left="720"/>
        <w:jc w:val="both"/>
        <w:rPr>
          <w:rFonts w:ascii="Arial" w:hAnsi="Arial" w:cs="Arial"/>
          <w:sz w:val="24"/>
          <w:szCs w:val="24"/>
          <w:lang w:val="es-US"/>
        </w:rPr>
      </w:pPr>
      <w:r w:rsidRPr="00EA048B">
        <w:rPr>
          <w:rFonts w:ascii="Arial" w:hAnsi="Arial" w:cs="Arial"/>
          <w:sz w:val="24"/>
          <w:szCs w:val="24"/>
          <w:lang w:val="es-US"/>
        </w:rPr>
        <w:t xml:space="preserve">U odnosu na planirane Budžetom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rashodi za jubilarne nagrade, otpremnine i naknade skupštinskim odbornicima ostali na istom nivou, dok su povećani rashodi za ostale naknade (index 142,86), koje se isplaćuju zaposlenima uslijed smrti člana porodice.</w:t>
      </w:r>
    </w:p>
    <w:p w:rsidR="00CA76AE" w:rsidRPr="00EA048B" w:rsidRDefault="00CA76AE" w:rsidP="00CA76AE">
      <w:pPr>
        <w:spacing w:after="0"/>
        <w:ind w:left="720"/>
        <w:jc w:val="both"/>
        <w:rPr>
          <w:rFonts w:ascii="Arial" w:hAnsi="Arial" w:cs="Arial"/>
          <w:sz w:val="4"/>
          <w:szCs w:val="4"/>
          <w:lang w:val="es-US"/>
        </w:rPr>
      </w:pPr>
    </w:p>
    <w:p w:rsidR="00E1115E" w:rsidRPr="00EA048B" w:rsidRDefault="00E1115E" w:rsidP="00CA76AE">
      <w:pPr>
        <w:numPr>
          <w:ilvl w:val="0"/>
          <w:numId w:val="1"/>
        </w:numPr>
        <w:spacing w:after="0" w:line="240" w:lineRule="auto"/>
        <w:jc w:val="both"/>
        <w:rPr>
          <w:rFonts w:ascii="Arial" w:hAnsi="Arial" w:cs="Arial"/>
          <w:b/>
          <w:sz w:val="24"/>
          <w:szCs w:val="24"/>
          <w:lang w:val="es-US"/>
        </w:rPr>
      </w:pPr>
      <w:r w:rsidRPr="00EA048B">
        <w:rPr>
          <w:rFonts w:ascii="Arial" w:hAnsi="Arial" w:cs="Arial"/>
          <w:b/>
          <w:sz w:val="24"/>
          <w:szCs w:val="24"/>
          <w:lang w:val="es-US"/>
        </w:rPr>
        <w:t xml:space="preserve">Rashodi za materijal </w:t>
      </w:r>
      <w:r w:rsidRPr="00EA048B">
        <w:rPr>
          <w:rFonts w:ascii="Arial" w:hAnsi="Arial" w:cs="Arial"/>
          <w:sz w:val="24"/>
          <w:szCs w:val="24"/>
          <w:lang w:val="es-US"/>
        </w:rPr>
        <w:t>Rebalansom su planirani više za 1,51% ili sa 664.000,00 € na 674.000,00 €.</w:t>
      </w:r>
    </w:p>
    <w:p w:rsidR="00E1115E" w:rsidRPr="00EA048B" w:rsidRDefault="00E1115E" w:rsidP="00CA76AE">
      <w:pPr>
        <w:spacing w:after="0"/>
        <w:ind w:left="720"/>
        <w:jc w:val="both"/>
        <w:rPr>
          <w:rFonts w:ascii="Arial" w:hAnsi="Arial" w:cs="Arial"/>
          <w:sz w:val="24"/>
          <w:szCs w:val="24"/>
          <w:lang w:val="es-US"/>
        </w:rPr>
      </w:pPr>
      <w:r w:rsidRPr="00EA048B">
        <w:rPr>
          <w:rFonts w:ascii="Arial" w:hAnsi="Arial" w:cs="Arial"/>
          <w:sz w:val="24"/>
          <w:szCs w:val="24"/>
          <w:lang w:val="es-US"/>
        </w:rPr>
        <w:t xml:space="preserve">U odnosu na planirane Budžetom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povećani su  rashodi za administrativni materijal (index 109,05) i ostali rashodi za materijal (index 104,08), dok su rashodi za gorivo, energiju i materijal za posebne namjene ostali na istom nivou.</w:t>
      </w:r>
    </w:p>
    <w:p w:rsidR="00CA76AE" w:rsidRPr="00EA048B" w:rsidRDefault="00CA76AE" w:rsidP="00CA76AE">
      <w:pPr>
        <w:spacing w:after="0"/>
        <w:ind w:left="720"/>
        <w:jc w:val="both"/>
        <w:rPr>
          <w:rFonts w:ascii="Arial" w:hAnsi="Arial" w:cs="Arial"/>
          <w:sz w:val="8"/>
          <w:szCs w:val="8"/>
          <w:lang w:val="es-US"/>
        </w:rPr>
      </w:pPr>
    </w:p>
    <w:p w:rsidR="00E1115E" w:rsidRPr="00EA048B" w:rsidRDefault="00E1115E" w:rsidP="000A6032">
      <w:pPr>
        <w:numPr>
          <w:ilvl w:val="0"/>
          <w:numId w:val="1"/>
        </w:numPr>
        <w:spacing w:after="0" w:line="240" w:lineRule="auto"/>
        <w:jc w:val="both"/>
        <w:rPr>
          <w:rFonts w:ascii="Arial" w:hAnsi="Arial" w:cs="Arial"/>
          <w:sz w:val="24"/>
          <w:szCs w:val="24"/>
          <w:lang w:val="es-US"/>
        </w:rPr>
      </w:pPr>
      <w:r w:rsidRPr="00EA048B">
        <w:rPr>
          <w:rFonts w:ascii="Arial" w:hAnsi="Arial" w:cs="Arial"/>
          <w:b/>
          <w:sz w:val="24"/>
          <w:szCs w:val="24"/>
          <w:lang w:val="es-US"/>
        </w:rPr>
        <w:t xml:space="preserve">Rashodi za usluge </w:t>
      </w:r>
      <w:r w:rsidRPr="00EA048B">
        <w:rPr>
          <w:rFonts w:ascii="Arial" w:hAnsi="Arial" w:cs="Arial"/>
          <w:sz w:val="24"/>
          <w:szCs w:val="24"/>
          <w:lang w:val="es-US"/>
        </w:rPr>
        <w:t xml:space="preserve">Rebalansom su planirani na iznos od 611.100,00 € ili 3,21% više u odnosu na plan. </w:t>
      </w:r>
    </w:p>
    <w:p w:rsidR="000A6032" w:rsidRPr="00EA048B" w:rsidRDefault="00E1115E" w:rsidP="000A6032">
      <w:pPr>
        <w:spacing w:after="0"/>
        <w:ind w:left="720"/>
        <w:jc w:val="both"/>
        <w:rPr>
          <w:rFonts w:ascii="Arial" w:hAnsi="Arial" w:cs="Arial"/>
          <w:sz w:val="24"/>
          <w:szCs w:val="24"/>
          <w:lang w:val="es-US"/>
        </w:rPr>
      </w:pPr>
      <w:r w:rsidRPr="00EA048B">
        <w:rPr>
          <w:rFonts w:ascii="Arial" w:hAnsi="Arial" w:cs="Arial"/>
          <w:sz w:val="24"/>
          <w:szCs w:val="24"/>
          <w:lang w:val="es-US"/>
        </w:rPr>
        <w:t>Povećani su izdaci po osnovu: komunakacionih usluga (index 102,76) i konsultantskih usluga, projekata i studija (index 107,63). Na istom nivou su ostali rashodi po osnovu službenih putovanja, reprezentacije, bankarskih usluga, advokatskih, notarskih i pravnih usluga i usluga stručnog usavršavanja, dok su rashodi za ostale usluge manji u odnosu na plan za 1,39%.</w:t>
      </w:r>
    </w:p>
    <w:p w:rsidR="00E1115E" w:rsidRPr="00EA048B" w:rsidRDefault="00E1115E" w:rsidP="000A6032">
      <w:pPr>
        <w:spacing w:after="0"/>
        <w:ind w:left="720"/>
        <w:jc w:val="both"/>
        <w:rPr>
          <w:rFonts w:ascii="Arial" w:hAnsi="Arial" w:cs="Arial"/>
          <w:sz w:val="8"/>
          <w:szCs w:val="8"/>
          <w:lang w:val="es-US"/>
        </w:rPr>
      </w:pPr>
      <w:r w:rsidRPr="00EA048B">
        <w:rPr>
          <w:rFonts w:ascii="Arial" w:hAnsi="Arial" w:cs="Arial"/>
          <w:sz w:val="24"/>
          <w:szCs w:val="24"/>
          <w:lang w:val="es-US"/>
        </w:rPr>
        <w:t xml:space="preserve"> </w:t>
      </w:r>
    </w:p>
    <w:p w:rsidR="00E1115E" w:rsidRPr="00EA048B" w:rsidRDefault="00E1115E" w:rsidP="000A6032">
      <w:pPr>
        <w:numPr>
          <w:ilvl w:val="0"/>
          <w:numId w:val="1"/>
        </w:numPr>
        <w:spacing w:after="0" w:line="240" w:lineRule="auto"/>
        <w:jc w:val="both"/>
        <w:rPr>
          <w:rFonts w:ascii="Arial" w:hAnsi="Arial" w:cs="Arial"/>
          <w:sz w:val="24"/>
          <w:szCs w:val="24"/>
          <w:lang w:val="es-US"/>
        </w:rPr>
      </w:pPr>
      <w:r w:rsidRPr="00EA048B">
        <w:rPr>
          <w:rFonts w:ascii="Arial" w:hAnsi="Arial" w:cs="Arial"/>
          <w:sz w:val="24"/>
          <w:szCs w:val="24"/>
          <w:lang w:val="es-US"/>
        </w:rPr>
        <w:t xml:space="preserve">Rashodi za </w:t>
      </w:r>
      <w:r w:rsidRPr="00EA048B">
        <w:rPr>
          <w:rFonts w:ascii="Arial" w:hAnsi="Arial" w:cs="Arial"/>
          <w:b/>
          <w:sz w:val="24"/>
          <w:szCs w:val="24"/>
          <w:lang w:val="es-US"/>
        </w:rPr>
        <w:t>tekuće održavanje</w:t>
      </w:r>
      <w:r w:rsidRPr="00EA048B">
        <w:rPr>
          <w:rFonts w:ascii="Arial" w:hAnsi="Arial" w:cs="Arial"/>
          <w:sz w:val="24"/>
          <w:szCs w:val="24"/>
          <w:lang w:val="es-US"/>
        </w:rPr>
        <w:t xml:space="preserve"> povećani su sa 207.000,00 € na 307.000,00 € ili za 48,31%. </w:t>
      </w:r>
    </w:p>
    <w:p w:rsidR="00E1115E" w:rsidRPr="00EA048B" w:rsidRDefault="00E1115E" w:rsidP="000A6032">
      <w:pPr>
        <w:spacing w:after="0"/>
        <w:ind w:left="720"/>
        <w:jc w:val="both"/>
        <w:rPr>
          <w:rFonts w:ascii="Arial" w:hAnsi="Arial" w:cs="Arial"/>
          <w:sz w:val="24"/>
          <w:szCs w:val="24"/>
          <w:lang w:val="es-US"/>
        </w:rPr>
      </w:pPr>
      <w:r w:rsidRPr="00EA048B">
        <w:rPr>
          <w:rFonts w:ascii="Arial" w:hAnsi="Arial" w:cs="Arial"/>
          <w:sz w:val="24"/>
          <w:szCs w:val="24"/>
          <w:lang w:val="es-US"/>
        </w:rPr>
        <w:t>U okviru izdataka Sekretarijata za komunalno - stambene poslove i zaštitu životne sredine povećani su izdaci po osnovu tekućeg održavanja javne infrastrukture (index 200,00) i uvedena je nova stavka tekuće održavanja javnih građevinskih objekata u iznosu od 50.000,00 €, dok su sredstva za tekuće održavanja građevinskih objekata ostala na istom nivou.</w:t>
      </w:r>
    </w:p>
    <w:p w:rsidR="00CA76AE" w:rsidRPr="00EA048B" w:rsidRDefault="00CA76AE" w:rsidP="00CA76AE">
      <w:pPr>
        <w:spacing w:after="0"/>
        <w:ind w:left="720"/>
        <w:jc w:val="both"/>
        <w:rPr>
          <w:rFonts w:ascii="Arial" w:hAnsi="Arial" w:cs="Arial"/>
          <w:sz w:val="4"/>
          <w:szCs w:val="4"/>
          <w:lang w:val="es-US"/>
        </w:rPr>
      </w:pPr>
    </w:p>
    <w:p w:rsidR="00E1115E" w:rsidRPr="00EA048B" w:rsidRDefault="00E1115E" w:rsidP="00CA76AE">
      <w:pPr>
        <w:numPr>
          <w:ilvl w:val="0"/>
          <w:numId w:val="1"/>
        </w:numPr>
        <w:spacing w:after="0" w:line="240" w:lineRule="auto"/>
        <w:jc w:val="both"/>
        <w:rPr>
          <w:rFonts w:ascii="Arial" w:hAnsi="Arial" w:cs="Arial"/>
          <w:sz w:val="24"/>
          <w:szCs w:val="24"/>
          <w:lang w:val="es-US"/>
        </w:rPr>
      </w:pPr>
      <w:r w:rsidRPr="00EA048B">
        <w:rPr>
          <w:rFonts w:ascii="Arial" w:hAnsi="Arial" w:cs="Arial"/>
          <w:sz w:val="24"/>
          <w:szCs w:val="24"/>
          <w:lang w:val="es-US"/>
        </w:rPr>
        <w:t xml:space="preserve">Izdaci za </w:t>
      </w:r>
      <w:r w:rsidRPr="00EA048B">
        <w:rPr>
          <w:rFonts w:ascii="Arial" w:hAnsi="Arial" w:cs="Arial"/>
          <w:b/>
          <w:sz w:val="24"/>
          <w:szCs w:val="24"/>
          <w:lang w:val="es-US"/>
        </w:rPr>
        <w:t xml:space="preserve">rentu </w:t>
      </w:r>
      <w:r w:rsidRPr="00EA048B">
        <w:rPr>
          <w:rFonts w:ascii="Arial" w:hAnsi="Arial" w:cs="Arial"/>
          <w:sz w:val="24"/>
          <w:szCs w:val="24"/>
          <w:lang w:val="es-US"/>
        </w:rPr>
        <w:t>Rebalansom su smanjeni sa 20.000,00 € na 5.000,00 €.</w:t>
      </w:r>
    </w:p>
    <w:p w:rsidR="00E1115E" w:rsidRPr="00EA048B" w:rsidRDefault="00E1115E" w:rsidP="00CA76AE">
      <w:pPr>
        <w:spacing w:after="0"/>
        <w:jc w:val="both"/>
        <w:rPr>
          <w:rFonts w:ascii="Arial" w:hAnsi="Arial" w:cs="Arial"/>
          <w:sz w:val="8"/>
          <w:szCs w:val="8"/>
          <w:lang w:val="es-US"/>
        </w:rPr>
      </w:pPr>
    </w:p>
    <w:p w:rsidR="00E1115E" w:rsidRPr="00EA048B" w:rsidRDefault="00E1115E" w:rsidP="00CA76AE">
      <w:pPr>
        <w:numPr>
          <w:ilvl w:val="0"/>
          <w:numId w:val="1"/>
        </w:numPr>
        <w:spacing w:after="0" w:line="240" w:lineRule="auto"/>
        <w:jc w:val="both"/>
        <w:rPr>
          <w:rFonts w:ascii="Arial" w:hAnsi="Arial" w:cs="Arial"/>
          <w:b/>
          <w:sz w:val="24"/>
          <w:szCs w:val="24"/>
          <w:lang w:val="es-US"/>
        </w:rPr>
      </w:pPr>
      <w:r w:rsidRPr="00EA048B">
        <w:rPr>
          <w:rFonts w:ascii="Arial" w:hAnsi="Arial" w:cs="Arial"/>
          <w:b/>
          <w:sz w:val="24"/>
          <w:szCs w:val="24"/>
          <w:lang w:val="es-US"/>
        </w:rPr>
        <w:t xml:space="preserve">Subvencije </w:t>
      </w:r>
      <w:r w:rsidRPr="00EA048B">
        <w:rPr>
          <w:rFonts w:ascii="Arial" w:hAnsi="Arial" w:cs="Arial"/>
          <w:sz w:val="24"/>
          <w:szCs w:val="24"/>
          <w:lang w:val="es-US"/>
        </w:rPr>
        <w:t>Rebalansom su ostale na nivou planskih predviđanja i iznose 335.000,00 €.</w:t>
      </w:r>
    </w:p>
    <w:p w:rsidR="00E1115E" w:rsidRPr="00EA048B" w:rsidRDefault="00E1115E" w:rsidP="00CA76AE">
      <w:pPr>
        <w:spacing w:after="0"/>
        <w:jc w:val="both"/>
        <w:rPr>
          <w:rFonts w:ascii="Arial" w:hAnsi="Arial" w:cs="Arial"/>
          <w:b/>
          <w:sz w:val="8"/>
          <w:szCs w:val="8"/>
          <w:lang w:val="es-US"/>
        </w:rPr>
      </w:pPr>
    </w:p>
    <w:p w:rsidR="00E1115E" w:rsidRPr="00EA048B" w:rsidRDefault="00E1115E" w:rsidP="000A6032">
      <w:pPr>
        <w:numPr>
          <w:ilvl w:val="0"/>
          <w:numId w:val="1"/>
        </w:numPr>
        <w:spacing w:after="0" w:line="240" w:lineRule="auto"/>
        <w:jc w:val="both"/>
        <w:rPr>
          <w:rFonts w:ascii="Arial" w:hAnsi="Arial" w:cs="Arial"/>
          <w:sz w:val="24"/>
          <w:szCs w:val="24"/>
          <w:lang w:val="es-US"/>
        </w:rPr>
      </w:pPr>
      <w:r w:rsidRPr="00EA048B">
        <w:rPr>
          <w:rFonts w:ascii="Arial" w:hAnsi="Arial" w:cs="Arial"/>
          <w:b/>
          <w:sz w:val="24"/>
          <w:szCs w:val="24"/>
          <w:lang w:val="es-US"/>
        </w:rPr>
        <w:t xml:space="preserve">Ostali izdaci tekućeg budžeta </w:t>
      </w:r>
      <w:r w:rsidRPr="00EA048B">
        <w:rPr>
          <w:rFonts w:ascii="Arial" w:hAnsi="Arial" w:cs="Arial"/>
          <w:sz w:val="24"/>
          <w:szCs w:val="24"/>
          <w:lang w:val="es-US"/>
        </w:rPr>
        <w:t>smanjeni su</w:t>
      </w:r>
      <w:r w:rsidRPr="00EA048B">
        <w:rPr>
          <w:rFonts w:ascii="Arial" w:hAnsi="Arial" w:cs="Arial"/>
          <w:b/>
          <w:sz w:val="24"/>
          <w:szCs w:val="24"/>
          <w:lang w:val="es-US"/>
        </w:rPr>
        <w:t xml:space="preserve"> </w:t>
      </w:r>
      <w:r w:rsidRPr="00EA048B">
        <w:rPr>
          <w:rFonts w:ascii="Arial" w:hAnsi="Arial" w:cs="Arial"/>
          <w:sz w:val="24"/>
          <w:szCs w:val="24"/>
          <w:lang w:val="es-US"/>
        </w:rPr>
        <w:t>sa 470.000,00 € na 357.400,00 € ili za 23,96%.</w:t>
      </w:r>
    </w:p>
    <w:p w:rsidR="000A6032" w:rsidRPr="00EA048B" w:rsidRDefault="00E1115E" w:rsidP="000A6032">
      <w:pPr>
        <w:spacing w:after="0"/>
        <w:ind w:left="720"/>
        <w:jc w:val="both"/>
        <w:rPr>
          <w:rFonts w:ascii="Arial" w:hAnsi="Arial" w:cs="Arial"/>
          <w:sz w:val="24"/>
          <w:szCs w:val="24"/>
          <w:lang w:val="es-US"/>
        </w:rPr>
      </w:pPr>
      <w:r w:rsidRPr="00EA048B">
        <w:rPr>
          <w:rFonts w:ascii="Arial" w:hAnsi="Arial" w:cs="Arial"/>
          <w:sz w:val="24"/>
          <w:szCs w:val="24"/>
          <w:lang w:val="es-US"/>
        </w:rPr>
        <w:t xml:space="preserve">U odnosu na planirane Budžetom za 2021. </w:t>
      </w:r>
      <w:proofErr w:type="gramStart"/>
      <w:r w:rsidRPr="00EA048B">
        <w:rPr>
          <w:rFonts w:ascii="Arial" w:hAnsi="Arial" w:cs="Arial"/>
          <w:sz w:val="24"/>
          <w:szCs w:val="24"/>
          <w:lang w:val="es-US"/>
        </w:rPr>
        <w:t>godinu</w:t>
      </w:r>
      <w:proofErr w:type="gramEnd"/>
      <w:r w:rsidRPr="00EA048B">
        <w:rPr>
          <w:rFonts w:ascii="Arial" w:hAnsi="Arial" w:cs="Arial"/>
          <w:sz w:val="24"/>
          <w:szCs w:val="24"/>
          <w:lang w:val="es-US"/>
        </w:rPr>
        <w:t xml:space="preserve"> smanjeni su rashodi za izdatke po osnovu isplate ugovora o djelu (index 93,66)  i takse za zemlju (index 46,00) koja se plaća Fondu za obeštećenje u skladu sa odredbama člana 44 Zakona o povraćaju oduzetih imovinskih prava i obeštećenju, za prodaju zemlje realizovanu u prethodnoj godini. Na istom nivou ostali su: izdaci po osnovu troškova sudskih postupaka, održavanja softvera, osiguranja, kontribucija za članstvo u domaćim i međunarodnim organizacijama i ostalo – IPA i EU projketi. </w:t>
      </w:r>
    </w:p>
    <w:p w:rsidR="000A6032" w:rsidRPr="00EA048B" w:rsidRDefault="000A6032" w:rsidP="000A6032">
      <w:pPr>
        <w:spacing w:after="0"/>
        <w:ind w:left="720"/>
        <w:jc w:val="both"/>
        <w:rPr>
          <w:rFonts w:ascii="Arial" w:hAnsi="Arial" w:cs="Arial"/>
          <w:sz w:val="4"/>
          <w:szCs w:val="4"/>
          <w:lang w:val="es-US"/>
        </w:rPr>
      </w:pPr>
    </w:p>
    <w:p w:rsidR="00E1115E" w:rsidRPr="00EA048B" w:rsidRDefault="00E1115E" w:rsidP="00E1115E">
      <w:pPr>
        <w:numPr>
          <w:ilvl w:val="0"/>
          <w:numId w:val="1"/>
        </w:numPr>
        <w:tabs>
          <w:tab w:val="left" w:pos="720"/>
          <w:tab w:val="left" w:pos="900"/>
        </w:tabs>
        <w:spacing w:after="0" w:line="240" w:lineRule="auto"/>
        <w:jc w:val="both"/>
        <w:rPr>
          <w:rFonts w:ascii="Arial" w:hAnsi="Arial" w:cs="Arial"/>
          <w:b/>
          <w:sz w:val="24"/>
          <w:szCs w:val="24"/>
          <w:lang w:val="es-US"/>
        </w:rPr>
      </w:pPr>
      <w:r w:rsidRPr="00EA048B">
        <w:rPr>
          <w:rFonts w:ascii="Arial" w:hAnsi="Arial" w:cs="Arial"/>
          <w:sz w:val="24"/>
          <w:szCs w:val="24"/>
          <w:lang w:val="es-US"/>
        </w:rPr>
        <w:t>Izdaci za</w:t>
      </w:r>
      <w:r w:rsidRPr="00EA048B">
        <w:rPr>
          <w:rFonts w:ascii="Arial" w:hAnsi="Arial" w:cs="Arial"/>
          <w:b/>
          <w:sz w:val="24"/>
          <w:szCs w:val="24"/>
          <w:lang w:val="es-US"/>
        </w:rPr>
        <w:t xml:space="preserve"> prava iz oblasti socijalne zaštite </w:t>
      </w:r>
      <w:r w:rsidRPr="00EA048B">
        <w:rPr>
          <w:rFonts w:ascii="Arial" w:hAnsi="Arial" w:cs="Arial"/>
          <w:sz w:val="24"/>
          <w:szCs w:val="24"/>
          <w:lang w:val="es-US"/>
        </w:rPr>
        <w:t>povećani su sa 16.000,00 € na 26.000,00 €  ili za 62,50% više i odnose na povećanje sredstava za Narodnu kuhinju.</w:t>
      </w:r>
    </w:p>
    <w:p w:rsidR="00E1115E" w:rsidRPr="00EA048B" w:rsidRDefault="00E1115E" w:rsidP="00E1115E">
      <w:pPr>
        <w:numPr>
          <w:ilvl w:val="0"/>
          <w:numId w:val="1"/>
        </w:numPr>
        <w:tabs>
          <w:tab w:val="left" w:pos="900"/>
        </w:tabs>
        <w:spacing w:after="0" w:line="240" w:lineRule="auto"/>
        <w:jc w:val="both"/>
        <w:rPr>
          <w:rFonts w:ascii="Arial" w:hAnsi="Arial" w:cs="Arial"/>
          <w:sz w:val="24"/>
          <w:szCs w:val="24"/>
          <w:lang w:val="es-US"/>
        </w:rPr>
      </w:pPr>
      <w:r w:rsidRPr="00EA048B">
        <w:rPr>
          <w:rFonts w:ascii="Arial" w:hAnsi="Arial" w:cs="Arial"/>
          <w:sz w:val="24"/>
          <w:szCs w:val="24"/>
          <w:lang w:val="es-US"/>
        </w:rPr>
        <w:lastRenderedPageBreak/>
        <w:t xml:space="preserve">Izdaci za </w:t>
      </w:r>
      <w:r w:rsidRPr="00EA048B">
        <w:rPr>
          <w:rFonts w:ascii="Arial" w:hAnsi="Arial" w:cs="Arial"/>
          <w:b/>
          <w:sz w:val="24"/>
          <w:szCs w:val="24"/>
          <w:lang w:val="es-US"/>
        </w:rPr>
        <w:t>transfere</w:t>
      </w:r>
      <w:r w:rsidRPr="00EA048B">
        <w:rPr>
          <w:rFonts w:ascii="Arial" w:hAnsi="Arial" w:cs="Arial"/>
          <w:sz w:val="24"/>
          <w:szCs w:val="24"/>
          <w:lang w:val="es-US"/>
        </w:rPr>
        <w:t xml:space="preserve"> </w:t>
      </w:r>
      <w:r w:rsidRPr="00EA048B">
        <w:rPr>
          <w:rFonts w:ascii="Arial" w:hAnsi="Arial" w:cs="Arial"/>
          <w:b/>
          <w:sz w:val="24"/>
          <w:szCs w:val="24"/>
          <w:lang w:val="es-US"/>
        </w:rPr>
        <w:t xml:space="preserve">institucijama, pojedincima, nevladinom i javnom sektoru </w:t>
      </w:r>
      <w:r w:rsidRPr="00EA048B">
        <w:rPr>
          <w:rFonts w:ascii="Arial" w:hAnsi="Arial" w:cs="Arial"/>
          <w:sz w:val="24"/>
          <w:szCs w:val="24"/>
          <w:lang w:val="es-US"/>
        </w:rPr>
        <w:t>povećani</w:t>
      </w:r>
      <w:r w:rsidRPr="00EA048B">
        <w:rPr>
          <w:rFonts w:ascii="Arial" w:hAnsi="Arial" w:cs="Arial"/>
          <w:b/>
          <w:sz w:val="24"/>
          <w:szCs w:val="24"/>
          <w:lang w:val="es-US"/>
        </w:rPr>
        <w:t xml:space="preserve"> </w:t>
      </w:r>
      <w:r w:rsidRPr="00EA048B">
        <w:rPr>
          <w:rFonts w:ascii="Arial" w:hAnsi="Arial" w:cs="Arial"/>
          <w:sz w:val="24"/>
          <w:szCs w:val="24"/>
          <w:lang w:val="es-US"/>
        </w:rPr>
        <w:t>su za 24,98%, odnosno sa 1.615.609,00 €  na 2.019.166,00 €.</w:t>
      </w:r>
    </w:p>
    <w:p w:rsidR="006F40B2" w:rsidRPr="00EA048B" w:rsidRDefault="006F40B2" w:rsidP="006F40B2">
      <w:pPr>
        <w:tabs>
          <w:tab w:val="left" w:pos="900"/>
        </w:tabs>
        <w:spacing w:after="0" w:line="240" w:lineRule="auto"/>
        <w:ind w:left="720"/>
        <w:jc w:val="both"/>
        <w:rPr>
          <w:rFonts w:ascii="Arial" w:hAnsi="Arial" w:cs="Arial"/>
          <w:sz w:val="12"/>
          <w:szCs w:val="12"/>
          <w:lang w:val="es-US"/>
        </w:rPr>
      </w:pP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transferi obrazovanju ostali su na nivou planiranih Budžetom za 2021. godinu i iznose  325.000,00 €;</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transferi institucijama kulture i sporta povećani su na 950.000,00 € ili za 26,67%;</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transferi nevladinim organizacijama planirani su u iznosu od 48.000,00 €     (Članom 3 Odluke o kriterijumima, načinu i postupku raspodjele sredstava nevladinim organizacijama („Sl.list CG - opštinski propisi“, br. 6/18) definisano je da se sredstva budžeta u iznosu od 0,5% tekućeg budžeta dodjeljuju nevladinim organizacijama koje su registrovane u Crnoj Gori, sa sjedištem u Opštini Bar, za projekte koji se u potpunosti ili pretežno, realizuju na teritoriji Opštine Bar. Komisija za raspodjelu sredstava nevladinim organizacijama raspisala je, dana 01.03.2021. godine, Javni konkurs za raspodjelu sredstava za projekte nevladinih organizacija za 2021. godinu, koji je bio otvoren 30 dana. Nakon sprovedenog cjelokupnog postupka evaluacije, Komisija je donijela Odluku o raspodjeli sredstava za projekte i programe nevladinih organizacija za 2021. godinu, u skladu sa kojom je izvršena isplata navedenih sredstava;</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transferi političkim partijama, strankama i udruženjima povećani su na 182.166,00 € ili za 27,69%</w:t>
      </w:r>
    </w:p>
    <w:p w:rsidR="00E1115E" w:rsidRPr="00EA048B" w:rsidRDefault="00E1115E" w:rsidP="006F40B2">
      <w:pPr>
        <w:spacing w:after="0"/>
        <w:ind w:left="1440"/>
        <w:jc w:val="both"/>
        <w:rPr>
          <w:rFonts w:ascii="Arial" w:hAnsi="Arial" w:cs="Arial"/>
          <w:sz w:val="24"/>
          <w:szCs w:val="24"/>
          <w:lang w:val="es-US"/>
        </w:rPr>
      </w:pPr>
      <w:r w:rsidRPr="00EA048B">
        <w:rPr>
          <w:rFonts w:ascii="Arial" w:hAnsi="Arial" w:cs="Arial"/>
          <w:sz w:val="24"/>
          <w:szCs w:val="24"/>
          <w:lang w:val="es-US"/>
        </w:rPr>
        <w:t>(Članom 13 Zakona o finansiranju političkih subjekata i izbornih kampanja („Sl. list CG“, br. 3/20 i 38/20) propisano je da budžetska sredstva za finansiranje redovnog rada političkih subjekata u skupštini opštine, Glavnog grada i Prijestonice iznose 1,1% planiranih ukupnih budžetskih sredstava, umanjenih za sredstva kapitalnog budžeta (tekući budžet), za godinu za koju se budžet opštine, Glavnog grada i Prijestonice donosi. Članom 14 istog Zakona propisano je da budžetska sredstva za finansiranje redovnog rada ženskih organizacija u političkim subjekatima u skupštini opštine iznose 0,11% planiranih ukupnih budžetskih sredstava, umanjenih za sredstva kapitalnog budžeta (tekući budžet), za godinu za koju se budžet opštine donosi.);</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transferi za jednokratne socijalne pomoći su na nivou planiranih Budžetom (70.000,00 €);</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transferi za lična primanja pripravnika su na nivou planskih predviđanja i iznose 40.000,00 €;</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 xml:space="preserve">ostali transferi pojedincima su povećani na 110.000,00 € ili za 10,00% u odnosu na planirane Budžetom i odnose se na povećanje stipendija; </w:t>
      </w:r>
    </w:p>
    <w:p w:rsidR="00E1115E" w:rsidRPr="00EA048B" w:rsidRDefault="00E1115E" w:rsidP="006F40B2">
      <w:pPr>
        <w:numPr>
          <w:ilvl w:val="0"/>
          <w:numId w:val="2"/>
        </w:numPr>
        <w:spacing w:after="0" w:line="240" w:lineRule="auto"/>
        <w:jc w:val="both"/>
        <w:rPr>
          <w:rFonts w:ascii="Arial" w:hAnsi="Arial" w:cs="Arial"/>
          <w:sz w:val="24"/>
          <w:szCs w:val="24"/>
          <w:lang w:val="es-US"/>
        </w:rPr>
      </w:pPr>
      <w:r w:rsidRPr="00EA048B">
        <w:rPr>
          <w:rFonts w:ascii="Arial" w:hAnsi="Arial" w:cs="Arial"/>
          <w:sz w:val="24"/>
          <w:szCs w:val="24"/>
          <w:lang w:val="es-US"/>
        </w:rPr>
        <w:t>ostali transferi institucijama su povećani za 127,91% ili sa 129.000,00 € na 294.000,00 €. Povećana su sredstva za ostale transfere institucijama – Crveni krst (briga o starima, pomoć u kući za stare, klub za starija lica), Ostale transfere institucijama i uveden</w:t>
      </w:r>
      <w:r w:rsidR="00985F98">
        <w:rPr>
          <w:rFonts w:ascii="Arial" w:hAnsi="Arial" w:cs="Arial"/>
          <w:sz w:val="24"/>
          <w:szCs w:val="24"/>
          <w:lang w:val="es-US"/>
        </w:rPr>
        <w:t>e</w:t>
      </w:r>
      <w:r w:rsidRPr="00EA048B">
        <w:rPr>
          <w:rFonts w:ascii="Arial" w:hAnsi="Arial" w:cs="Arial"/>
          <w:sz w:val="24"/>
          <w:szCs w:val="24"/>
          <w:lang w:val="es-US"/>
        </w:rPr>
        <w:t xml:space="preserve"> </w:t>
      </w:r>
      <w:r w:rsidR="00985F98">
        <w:rPr>
          <w:rFonts w:ascii="Arial" w:hAnsi="Arial" w:cs="Arial"/>
          <w:sz w:val="24"/>
          <w:szCs w:val="24"/>
          <w:lang w:val="es-US"/>
        </w:rPr>
        <w:t>su</w:t>
      </w:r>
      <w:r w:rsidRPr="00EA048B">
        <w:rPr>
          <w:rFonts w:ascii="Arial" w:hAnsi="Arial" w:cs="Arial"/>
          <w:sz w:val="24"/>
          <w:szCs w:val="24"/>
          <w:lang w:val="es-US"/>
        </w:rPr>
        <w:t xml:space="preserve"> nov</w:t>
      </w:r>
      <w:r w:rsidR="00985F98">
        <w:rPr>
          <w:rFonts w:ascii="Arial" w:hAnsi="Arial" w:cs="Arial"/>
          <w:sz w:val="24"/>
          <w:szCs w:val="24"/>
          <w:lang w:val="es-US"/>
        </w:rPr>
        <w:t>e</w:t>
      </w:r>
      <w:r w:rsidRPr="00EA048B">
        <w:rPr>
          <w:rFonts w:ascii="Arial" w:hAnsi="Arial" w:cs="Arial"/>
          <w:sz w:val="24"/>
          <w:szCs w:val="24"/>
          <w:lang w:val="es-US"/>
        </w:rPr>
        <w:t xml:space="preserve"> stavk</w:t>
      </w:r>
      <w:r w:rsidR="00985F98">
        <w:rPr>
          <w:rFonts w:ascii="Arial" w:hAnsi="Arial" w:cs="Arial"/>
          <w:sz w:val="24"/>
          <w:szCs w:val="24"/>
          <w:lang w:val="es-US"/>
        </w:rPr>
        <w:t>e</w:t>
      </w:r>
      <w:r w:rsidRPr="00EA048B">
        <w:rPr>
          <w:rFonts w:ascii="Arial" w:hAnsi="Arial" w:cs="Arial"/>
          <w:sz w:val="24"/>
          <w:szCs w:val="24"/>
          <w:lang w:val="es-US"/>
        </w:rPr>
        <w:t xml:space="preserve"> koj</w:t>
      </w:r>
      <w:r w:rsidR="00985F98">
        <w:rPr>
          <w:rFonts w:ascii="Arial" w:hAnsi="Arial" w:cs="Arial"/>
          <w:sz w:val="24"/>
          <w:szCs w:val="24"/>
          <w:lang w:val="es-US"/>
        </w:rPr>
        <w:t>ima</w:t>
      </w:r>
      <w:r w:rsidRPr="00EA048B">
        <w:rPr>
          <w:rFonts w:ascii="Arial" w:hAnsi="Arial" w:cs="Arial"/>
          <w:sz w:val="24"/>
          <w:szCs w:val="24"/>
          <w:lang w:val="es-US"/>
        </w:rPr>
        <w:t xml:space="preserve"> su planirana sredstva za MZ Crmnica za prolazak kroz tunel „Sozina“ i to za mještane Crmnice koji rade u Baru, kao i ljude koji žive u Baru, a imaju registrovana poljoprivredna gazdinstva i registrovan privatni smještaj na teritoriji Crmnice</w:t>
      </w:r>
      <w:r w:rsidR="00985F98">
        <w:rPr>
          <w:rFonts w:ascii="Arial" w:hAnsi="Arial" w:cs="Arial"/>
          <w:sz w:val="24"/>
          <w:szCs w:val="24"/>
          <w:lang w:val="es-US"/>
        </w:rPr>
        <w:t xml:space="preserve"> i sredstva za MZ Šestani za prolazak kroz tunel </w:t>
      </w:r>
      <w:r w:rsidR="007435E8" w:rsidRPr="00EA048B">
        <w:rPr>
          <w:rFonts w:ascii="Arial" w:hAnsi="Arial" w:cs="Arial"/>
          <w:sz w:val="24"/>
          <w:szCs w:val="24"/>
          <w:lang w:val="es-US"/>
        </w:rPr>
        <w:t>„</w:t>
      </w:r>
      <w:r w:rsidR="00985F98">
        <w:rPr>
          <w:rFonts w:ascii="Arial" w:hAnsi="Arial" w:cs="Arial"/>
          <w:sz w:val="24"/>
          <w:szCs w:val="24"/>
          <w:lang w:val="es-US"/>
        </w:rPr>
        <w:t>Sozina” po</w:t>
      </w:r>
      <w:r w:rsidR="007435E8">
        <w:rPr>
          <w:rFonts w:ascii="Arial" w:hAnsi="Arial" w:cs="Arial"/>
          <w:sz w:val="24"/>
          <w:szCs w:val="24"/>
          <w:lang w:val="es-US"/>
        </w:rPr>
        <w:t>d</w:t>
      </w:r>
      <w:r w:rsidR="00985F98">
        <w:rPr>
          <w:rFonts w:ascii="Arial" w:hAnsi="Arial" w:cs="Arial"/>
          <w:sz w:val="24"/>
          <w:szCs w:val="24"/>
          <w:lang w:val="es-US"/>
        </w:rPr>
        <w:t xml:space="preserve"> istim kriterijumima</w:t>
      </w:r>
      <w:r w:rsidRPr="00EA048B">
        <w:rPr>
          <w:rFonts w:ascii="Arial" w:hAnsi="Arial" w:cs="Arial"/>
          <w:sz w:val="24"/>
          <w:szCs w:val="24"/>
          <w:lang w:val="es-US"/>
        </w:rPr>
        <w:t>.</w:t>
      </w:r>
    </w:p>
    <w:p w:rsidR="00E1115E" w:rsidRDefault="00E1115E"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Default="00985F98" w:rsidP="006F40B2">
      <w:pPr>
        <w:spacing w:after="0"/>
        <w:jc w:val="both"/>
        <w:rPr>
          <w:rFonts w:ascii="Arial" w:hAnsi="Arial" w:cs="Arial"/>
          <w:sz w:val="12"/>
          <w:szCs w:val="12"/>
          <w:lang w:val="es-US"/>
        </w:rPr>
      </w:pPr>
    </w:p>
    <w:p w:rsidR="00985F98" w:rsidRPr="00EA048B" w:rsidRDefault="00985F98" w:rsidP="006F40B2">
      <w:pPr>
        <w:spacing w:after="0"/>
        <w:jc w:val="both"/>
        <w:rPr>
          <w:rFonts w:ascii="Arial" w:hAnsi="Arial" w:cs="Arial"/>
          <w:sz w:val="12"/>
          <w:szCs w:val="12"/>
          <w:lang w:val="es-US"/>
        </w:rPr>
      </w:pPr>
    </w:p>
    <w:p w:rsidR="006F40B2" w:rsidRDefault="00E1115E" w:rsidP="00C427ED">
      <w:pPr>
        <w:numPr>
          <w:ilvl w:val="0"/>
          <w:numId w:val="1"/>
        </w:numPr>
        <w:tabs>
          <w:tab w:val="left" w:pos="900"/>
        </w:tabs>
        <w:spacing w:after="0" w:line="240" w:lineRule="auto"/>
        <w:jc w:val="both"/>
        <w:rPr>
          <w:rFonts w:ascii="Arial" w:hAnsi="Arial" w:cs="Arial"/>
          <w:sz w:val="24"/>
          <w:szCs w:val="24"/>
          <w:lang w:val="es-US"/>
        </w:rPr>
      </w:pPr>
      <w:r w:rsidRPr="00EA048B">
        <w:rPr>
          <w:rFonts w:ascii="Arial" w:hAnsi="Arial" w:cs="Arial"/>
          <w:b/>
          <w:sz w:val="24"/>
          <w:szCs w:val="24"/>
          <w:lang w:val="es-US"/>
        </w:rPr>
        <w:t xml:space="preserve">Ostali transferi </w:t>
      </w:r>
      <w:r w:rsidRPr="00EA048B">
        <w:rPr>
          <w:rFonts w:ascii="Arial" w:hAnsi="Arial" w:cs="Arial"/>
          <w:sz w:val="24"/>
          <w:szCs w:val="24"/>
          <w:lang w:val="es-US"/>
        </w:rPr>
        <w:t>su</w:t>
      </w:r>
      <w:r w:rsidRPr="00EA048B">
        <w:rPr>
          <w:rFonts w:ascii="Arial" w:hAnsi="Arial" w:cs="Arial"/>
          <w:b/>
          <w:sz w:val="24"/>
          <w:szCs w:val="24"/>
          <w:lang w:val="es-US"/>
        </w:rPr>
        <w:t xml:space="preserve"> </w:t>
      </w:r>
      <w:r w:rsidRPr="00EA048B">
        <w:rPr>
          <w:rFonts w:ascii="Arial" w:hAnsi="Arial" w:cs="Arial"/>
          <w:sz w:val="24"/>
          <w:szCs w:val="24"/>
          <w:lang w:val="es-US"/>
        </w:rPr>
        <w:t>povećani za</w:t>
      </w:r>
      <w:r w:rsidRPr="00EA048B">
        <w:rPr>
          <w:rFonts w:ascii="Arial" w:hAnsi="Arial" w:cs="Arial"/>
          <w:b/>
          <w:sz w:val="24"/>
          <w:szCs w:val="24"/>
          <w:lang w:val="es-US"/>
        </w:rPr>
        <w:t xml:space="preserve"> </w:t>
      </w:r>
      <w:r w:rsidRPr="00EA048B">
        <w:rPr>
          <w:rFonts w:ascii="Arial" w:hAnsi="Arial" w:cs="Arial"/>
          <w:sz w:val="24"/>
          <w:szCs w:val="24"/>
          <w:lang w:val="es-US"/>
        </w:rPr>
        <w:t>2,62% ili sa 2.578.000,00 € na 2.645.600,00 € i odnose se na povećanje dotacije za JP „Kulturni centar</w:t>
      </w:r>
      <w:proofErr w:type="gramStart"/>
      <w:r w:rsidRPr="00EA048B">
        <w:rPr>
          <w:rFonts w:ascii="Arial" w:hAnsi="Arial" w:cs="Arial"/>
          <w:sz w:val="24"/>
          <w:szCs w:val="24"/>
          <w:lang w:val="es-US"/>
        </w:rPr>
        <w:t>“ Bar</w:t>
      </w:r>
      <w:proofErr w:type="gramEnd"/>
      <w:r w:rsidRPr="00EA048B">
        <w:rPr>
          <w:rFonts w:ascii="Arial" w:hAnsi="Arial" w:cs="Arial"/>
          <w:sz w:val="24"/>
          <w:szCs w:val="24"/>
          <w:lang w:val="es-US"/>
        </w:rPr>
        <w:t xml:space="preserve"> za 9,80% i DOO „Sportsko -rekreativni centar“ za 6,45%, dok su smanjena sredstva za DOO „Vodacom“ Tivat za 6,00%, a transferi ostalim preduzećima su ostali na nivou planiranom po Budžetu.</w:t>
      </w:r>
    </w:p>
    <w:p w:rsidR="00985F98" w:rsidRPr="00985F98" w:rsidRDefault="00985F98" w:rsidP="00985F98">
      <w:pPr>
        <w:tabs>
          <w:tab w:val="left" w:pos="900"/>
        </w:tabs>
        <w:spacing w:after="0" w:line="240" w:lineRule="auto"/>
        <w:ind w:left="720"/>
        <w:jc w:val="both"/>
        <w:rPr>
          <w:rFonts w:ascii="Arial" w:hAnsi="Arial" w:cs="Arial"/>
          <w:sz w:val="24"/>
          <w:szCs w:val="24"/>
          <w:lang w:val="es-US"/>
        </w:rPr>
      </w:pPr>
    </w:p>
    <w:p w:rsidR="00E1115E" w:rsidRPr="00EA048B" w:rsidRDefault="00E1115E" w:rsidP="00E1115E">
      <w:pPr>
        <w:numPr>
          <w:ilvl w:val="0"/>
          <w:numId w:val="1"/>
        </w:numPr>
        <w:tabs>
          <w:tab w:val="left" w:pos="900"/>
        </w:tabs>
        <w:spacing w:after="0" w:line="240" w:lineRule="auto"/>
        <w:jc w:val="both"/>
        <w:rPr>
          <w:rFonts w:ascii="Arial" w:hAnsi="Arial" w:cs="Arial"/>
          <w:sz w:val="24"/>
          <w:szCs w:val="24"/>
          <w:lang w:val="es-US"/>
        </w:rPr>
      </w:pPr>
      <w:r w:rsidRPr="00EA048B">
        <w:rPr>
          <w:rFonts w:ascii="Arial" w:hAnsi="Arial" w:cs="Arial"/>
          <w:b/>
          <w:sz w:val="24"/>
          <w:szCs w:val="24"/>
          <w:lang w:val="es-US"/>
        </w:rPr>
        <w:t xml:space="preserve">Kapitalni izdaci </w:t>
      </w:r>
      <w:r w:rsidRPr="00EA048B">
        <w:rPr>
          <w:rFonts w:ascii="Arial" w:hAnsi="Arial" w:cs="Arial"/>
          <w:sz w:val="24"/>
          <w:szCs w:val="24"/>
          <w:lang w:val="es-US"/>
        </w:rPr>
        <w:t xml:space="preserve">Rebalansom su povećani na 8.272.000,00 € ili 5,92%.  </w:t>
      </w:r>
    </w:p>
    <w:p w:rsidR="00E1115E" w:rsidRPr="00EA048B" w:rsidRDefault="00E1115E" w:rsidP="00E1115E">
      <w:pPr>
        <w:tabs>
          <w:tab w:val="left" w:pos="900"/>
        </w:tabs>
        <w:jc w:val="both"/>
        <w:rPr>
          <w:rFonts w:ascii="Arial" w:hAnsi="Arial" w:cs="Arial"/>
          <w:sz w:val="24"/>
          <w:szCs w:val="24"/>
          <w:lang w:val="es-US"/>
        </w:rPr>
      </w:pPr>
    </w:p>
    <w:p w:rsidR="00E1115E" w:rsidRPr="00EA048B" w:rsidRDefault="00E1115E" w:rsidP="00E1115E">
      <w:pPr>
        <w:numPr>
          <w:ilvl w:val="0"/>
          <w:numId w:val="1"/>
        </w:numPr>
        <w:tabs>
          <w:tab w:val="left" w:pos="900"/>
        </w:tabs>
        <w:spacing w:after="0" w:line="240" w:lineRule="auto"/>
        <w:jc w:val="both"/>
        <w:rPr>
          <w:rFonts w:ascii="Arial" w:hAnsi="Arial" w:cs="Arial"/>
          <w:sz w:val="24"/>
          <w:szCs w:val="24"/>
          <w:lang w:val="es-US"/>
        </w:rPr>
      </w:pPr>
      <w:r w:rsidRPr="00EA048B">
        <w:rPr>
          <w:rFonts w:ascii="Arial" w:hAnsi="Arial" w:cs="Arial"/>
          <w:sz w:val="24"/>
          <w:szCs w:val="24"/>
          <w:lang w:val="es-US"/>
        </w:rPr>
        <w:t>Sredstva</w:t>
      </w:r>
      <w:r w:rsidRPr="00EA048B">
        <w:rPr>
          <w:rFonts w:ascii="Arial" w:hAnsi="Arial" w:cs="Arial"/>
          <w:b/>
          <w:sz w:val="24"/>
          <w:szCs w:val="24"/>
          <w:lang w:val="es-US"/>
        </w:rPr>
        <w:t xml:space="preserve"> za otplatu duga </w:t>
      </w:r>
      <w:r w:rsidRPr="00EA048B">
        <w:rPr>
          <w:rFonts w:ascii="Arial" w:hAnsi="Arial" w:cs="Arial"/>
          <w:sz w:val="24"/>
          <w:szCs w:val="24"/>
          <w:lang w:val="es-US"/>
        </w:rPr>
        <w:t>su</w:t>
      </w:r>
      <w:r w:rsidRPr="00EA048B">
        <w:rPr>
          <w:rFonts w:ascii="Arial" w:hAnsi="Arial" w:cs="Arial"/>
          <w:b/>
          <w:sz w:val="24"/>
          <w:szCs w:val="24"/>
          <w:lang w:val="es-US"/>
        </w:rPr>
        <w:t xml:space="preserve"> </w:t>
      </w:r>
      <w:r w:rsidRPr="00EA048B">
        <w:rPr>
          <w:rFonts w:ascii="Arial" w:hAnsi="Arial" w:cs="Arial"/>
          <w:sz w:val="24"/>
          <w:szCs w:val="24"/>
          <w:lang w:val="es-US"/>
        </w:rPr>
        <w:t xml:space="preserve">povećana sa 300.000,00 € na 810.000,00 € i odnose se na otplatu duga po osnovu kredita KfW banke. </w:t>
      </w:r>
    </w:p>
    <w:p w:rsidR="00E1115E" w:rsidRPr="00EA048B" w:rsidRDefault="00E1115E" w:rsidP="00E1115E">
      <w:pPr>
        <w:tabs>
          <w:tab w:val="left" w:pos="900"/>
        </w:tabs>
        <w:jc w:val="both"/>
        <w:rPr>
          <w:rFonts w:ascii="Arial" w:hAnsi="Arial" w:cs="Arial"/>
          <w:sz w:val="24"/>
          <w:szCs w:val="24"/>
          <w:lang w:val="es-US"/>
        </w:rPr>
      </w:pPr>
    </w:p>
    <w:p w:rsidR="00E1115E" w:rsidRPr="00EA048B" w:rsidRDefault="00E1115E" w:rsidP="00E1115E">
      <w:pPr>
        <w:numPr>
          <w:ilvl w:val="0"/>
          <w:numId w:val="1"/>
        </w:numPr>
        <w:tabs>
          <w:tab w:val="left" w:pos="900"/>
        </w:tabs>
        <w:spacing w:after="0" w:line="240" w:lineRule="auto"/>
        <w:jc w:val="both"/>
        <w:rPr>
          <w:rFonts w:ascii="Arial" w:hAnsi="Arial" w:cs="Arial"/>
          <w:sz w:val="24"/>
          <w:szCs w:val="24"/>
          <w:lang w:val="es-US"/>
        </w:rPr>
      </w:pPr>
      <w:r w:rsidRPr="00EA048B">
        <w:rPr>
          <w:rFonts w:ascii="Arial" w:hAnsi="Arial" w:cs="Arial"/>
          <w:sz w:val="24"/>
          <w:szCs w:val="24"/>
          <w:lang w:val="es-US"/>
        </w:rPr>
        <w:t>Sredstva</w:t>
      </w:r>
      <w:r w:rsidRPr="00EA048B">
        <w:rPr>
          <w:rFonts w:ascii="Arial" w:hAnsi="Arial" w:cs="Arial"/>
          <w:b/>
          <w:sz w:val="24"/>
          <w:szCs w:val="24"/>
          <w:lang w:val="es-US"/>
        </w:rPr>
        <w:t xml:space="preserve"> za otplatu obaveza iz prethodnog perioda </w:t>
      </w:r>
      <w:r w:rsidRPr="00EA048B">
        <w:rPr>
          <w:rFonts w:ascii="Arial" w:hAnsi="Arial" w:cs="Arial"/>
          <w:sz w:val="24"/>
          <w:szCs w:val="24"/>
          <w:lang w:val="es-US"/>
        </w:rPr>
        <w:t>planirana su u iznosu od 1.679.034,00 € i na nivou su planiranih budžetom.</w:t>
      </w:r>
    </w:p>
    <w:p w:rsidR="00E1115E" w:rsidRPr="00EA048B" w:rsidRDefault="00E1115E" w:rsidP="00E1115E">
      <w:pPr>
        <w:jc w:val="both"/>
        <w:rPr>
          <w:rFonts w:ascii="Arial" w:hAnsi="Arial" w:cs="Arial"/>
          <w:sz w:val="24"/>
          <w:szCs w:val="24"/>
          <w:lang w:val="es-US"/>
        </w:rPr>
      </w:pPr>
    </w:p>
    <w:p w:rsidR="00E1115E" w:rsidRPr="00EA048B" w:rsidRDefault="00E1115E" w:rsidP="00E1115E">
      <w:pPr>
        <w:numPr>
          <w:ilvl w:val="0"/>
          <w:numId w:val="1"/>
        </w:numPr>
        <w:tabs>
          <w:tab w:val="left" w:pos="900"/>
        </w:tabs>
        <w:spacing w:after="0" w:line="240" w:lineRule="auto"/>
        <w:jc w:val="both"/>
        <w:rPr>
          <w:rFonts w:ascii="Arial" w:hAnsi="Arial" w:cs="Arial"/>
          <w:sz w:val="24"/>
          <w:szCs w:val="24"/>
          <w:lang w:val="es-US"/>
        </w:rPr>
      </w:pPr>
      <w:r w:rsidRPr="00EA048B">
        <w:rPr>
          <w:rFonts w:ascii="Arial" w:hAnsi="Arial" w:cs="Arial"/>
          <w:sz w:val="24"/>
          <w:szCs w:val="24"/>
          <w:lang w:val="es-US"/>
        </w:rPr>
        <w:t>Sredstva</w:t>
      </w:r>
      <w:r w:rsidRPr="00EA048B">
        <w:rPr>
          <w:rFonts w:ascii="Arial" w:hAnsi="Arial" w:cs="Arial"/>
          <w:b/>
          <w:sz w:val="24"/>
          <w:szCs w:val="24"/>
          <w:lang w:val="es-US"/>
        </w:rPr>
        <w:t xml:space="preserve"> za rezerve</w:t>
      </w:r>
      <w:r w:rsidRPr="00EA048B">
        <w:rPr>
          <w:rFonts w:ascii="Arial" w:hAnsi="Arial" w:cs="Arial"/>
          <w:sz w:val="24"/>
          <w:szCs w:val="24"/>
          <w:lang w:val="es-US"/>
        </w:rPr>
        <w:t xml:space="preserve"> povećana su na 250.000,00 €.</w:t>
      </w:r>
    </w:p>
    <w:p w:rsidR="00E1115E" w:rsidRPr="00EA048B" w:rsidRDefault="00E1115E" w:rsidP="00E1115E">
      <w:pPr>
        <w:tabs>
          <w:tab w:val="left" w:pos="900"/>
        </w:tabs>
        <w:jc w:val="both"/>
        <w:rPr>
          <w:rFonts w:ascii="Arial" w:hAnsi="Arial" w:cs="Arial"/>
          <w:sz w:val="24"/>
          <w:szCs w:val="24"/>
          <w:lang w:val="es-US"/>
        </w:rPr>
      </w:pPr>
    </w:p>
    <w:p w:rsidR="00E1115E" w:rsidRPr="00EA048B" w:rsidRDefault="00E1115E" w:rsidP="00E1115E">
      <w:pPr>
        <w:ind w:left="5760"/>
        <w:jc w:val="both"/>
        <w:rPr>
          <w:rFonts w:ascii="Arial" w:hAnsi="Arial" w:cs="Arial"/>
          <w:i/>
          <w:sz w:val="24"/>
          <w:szCs w:val="24"/>
          <w:lang w:val="es-US"/>
        </w:rPr>
      </w:pPr>
      <w:r w:rsidRPr="00EA048B">
        <w:rPr>
          <w:rFonts w:ascii="Arial" w:hAnsi="Arial" w:cs="Arial"/>
          <w:i/>
          <w:sz w:val="24"/>
          <w:szCs w:val="24"/>
          <w:lang w:val="es-US"/>
        </w:rPr>
        <w:t xml:space="preserve"> </w:t>
      </w:r>
    </w:p>
    <w:p w:rsidR="00E1115E" w:rsidRPr="00F87390" w:rsidRDefault="006F40B2" w:rsidP="006F40B2">
      <w:pPr>
        <w:jc w:val="both"/>
        <w:rPr>
          <w:rFonts w:ascii="Arial" w:hAnsi="Arial" w:cs="Arial"/>
        </w:rPr>
      </w:pPr>
      <w:r w:rsidRPr="00EA048B">
        <w:rPr>
          <w:rFonts w:ascii="Arial" w:hAnsi="Arial" w:cs="Arial"/>
          <w:i/>
          <w:lang w:val="es-US"/>
        </w:rPr>
        <w:t xml:space="preserve">                                                                          </w:t>
      </w:r>
      <w:r w:rsidR="00E1115E" w:rsidRPr="00F87390">
        <w:rPr>
          <w:rFonts w:ascii="Arial" w:hAnsi="Arial" w:cs="Arial"/>
          <w:b/>
          <w:i/>
          <w:sz w:val="28"/>
          <w:szCs w:val="28"/>
        </w:rPr>
        <w:t>SEKRETARIJAT ZA FINANSIJE</w:t>
      </w:r>
    </w:p>
    <w:p w:rsidR="00951E57" w:rsidRDefault="00951E57"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Default="004750FE" w:rsidP="00951E57">
      <w:pPr>
        <w:spacing w:after="0"/>
        <w:jc w:val="center"/>
      </w:pPr>
    </w:p>
    <w:p w:rsidR="004750FE" w:rsidRPr="0097306C" w:rsidRDefault="004750FE" w:rsidP="004750FE">
      <w:pPr>
        <w:tabs>
          <w:tab w:val="left" w:pos="1276"/>
          <w:tab w:val="left" w:pos="9072"/>
          <w:tab w:val="left" w:pos="9639"/>
        </w:tabs>
        <w:ind w:right="326"/>
        <w:rPr>
          <w:rFonts w:ascii="Albertus Extra Bold" w:hAnsi="Albertus Extra Bold"/>
          <w:bCs/>
          <w:i/>
        </w:rPr>
      </w:pPr>
    </w:p>
    <w:p w:rsidR="004750FE" w:rsidRPr="0097306C" w:rsidRDefault="004750FE" w:rsidP="004750FE">
      <w:pPr>
        <w:tabs>
          <w:tab w:val="left" w:pos="1276"/>
          <w:tab w:val="left" w:pos="9072"/>
          <w:tab w:val="left" w:pos="9639"/>
        </w:tabs>
        <w:ind w:right="326"/>
        <w:jc w:val="center"/>
        <w:rPr>
          <w:b/>
          <w:sz w:val="16"/>
          <w:szCs w:val="16"/>
        </w:rPr>
      </w:pPr>
    </w:p>
    <w:tbl>
      <w:tblPr>
        <w:tblW w:w="11719" w:type="dxa"/>
        <w:jc w:val="center"/>
        <w:tblInd w:w="108" w:type="dxa"/>
        <w:tblLook w:val="04A0"/>
      </w:tblPr>
      <w:tblGrid>
        <w:gridCol w:w="11719"/>
      </w:tblGrid>
      <w:tr w:rsidR="004750FE" w:rsidRPr="0097306C" w:rsidTr="004750FE">
        <w:trPr>
          <w:trHeight w:val="455"/>
          <w:jc w:val="center"/>
        </w:trPr>
        <w:tc>
          <w:tcPr>
            <w:tcW w:w="11719" w:type="dxa"/>
            <w:tcBorders>
              <w:top w:val="nil"/>
              <w:left w:val="nil"/>
              <w:bottom w:val="nil"/>
              <w:right w:val="nil"/>
            </w:tcBorders>
            <w:shd w:val="clear" w:color="000000" w:fill="808080"/>
            <w:noWrap/>
            <w:vAlign w:val="center"/>
            <w:hideMark/>
          </w:tcPr>
          <w:p w:rsidR="004750FE" w:rsidRPr="0097306C" w:rsidRDefault="004750FE" w:rsidP="00EA048B">
            <w:pPr>
              <w:jc w:val="center"/>
              <w:rPr>
                <w:rFonts w:ascii="Tahoma" w:hAnsi="Tahoma" w:cs="Tahoma"/>
                <w:sz w:val="20"/>
                <w:szCs w:val="20"/>
              </w:rPr>
            </w:pPr>
            <w:r w:rsidRPr="00EA048B">
              <w:rPr>
                <w:rFonts w:ascii="Verdana" w:hAnsi="Verdana" w:cs="Arial"/>
                <w:b/>
                <w:bCs/>
                <w:color w:val="FFFFFF"/>
                <w:sz w:val="30"/>
                <w:szCs w:val="30"/>
                <w:lang w:val="es-US"/>
              </w:rPr>
              <w:t xml:space="preserve">OBRAZLOŽENJE PREDLOGA REBALANSA BUDŽETA ZA 2021. </w:t>
            </w:r>
            <w:r w:rsidRPr="0097306C">
              <w:rPr>
                <w:rFonts w:ascii="Verdana" w:hAnsi="Verdana" w:cs="Arial"/>
                <w:b/>
                <w:bCs/>
                <w:color w:val="FFFFFF"/>
                <w:sz w:val="30"/>
                <w:szCs w:val="30"/>
              </w:rPr>
              <w:t>GODINU</w:t>
            </w:r>
          </w:p>
        </w:tc>
      </w:tr>
    </w:tbl>
    <w:p w:rsidR="004750FE" w:rsidRPr="0097306C" w:rsidRDefault="004750FE" w:rsidP="004750FE">
      <w:pPr>
        <w:tabs>
          <w:tab w:val="left" w:pos="1276"/>
          <w:tab w:val="left" w:pos="9072"/>
          <w:tab w:val="left" w:pos="9639"/>
        </w:tabs>
        <w:ind w:right="326"/>
        <w:rPr>
          <w:rFonts w:ascii="Albertus Extra Bold" w:hAnsi="Albertus Extra Bold"/>
          <w:bCs/>
          <w:i/>
        </w:rPr>
      </w:pPr>
    </w:p>
    <w:p w:rsidR="004750FE" w:rsidRPr="004750FE" w:rsidRDefault="004750FE" w:rsidP="004750FE">
      <w:pPr>
        <w:jc w:val="center"/>
        <w:rPr>
          <w:b/>
          <w:sz w:val="32"/>
        </w:rPr>
      </w:pPr>
      <w:r w:rsidRPr="0097306C">
        <w:rPr>
          <w:b/>
          <w:sz w:val="32"/>
        </w:rPr>
        <w:t>PRIMICI</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tblPr>
      <w:tblGrid>
        <w:gridCol w:w="436"/>
        <w:gridCol w:w="1204"/>
        <w:gridCol w:w="5940"/>
        <w:gridCol w:w="1501"/>
      </w:tblGrid>
      <w:tr w:rsidR="004750FE" w:rsidRPr="0097306C" w:rsidTr="00EA048B">
        <w:trPr>
          <w:trHeight w:val="564"/>
          <w:jc w:val="center"/>
        </w:trPr>
        <w:tc>
          <w:tcPr>
            <w:tcW w:w="436" w:type="dxa"/>
            <w:tcBorders>
              <w:top w:val="thinThickSmallGap" w:sz="2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1</w:t>
            </w:r>
            <w:r w:rsidRPr="0097306C">
              <w:rPr>
                <w:b/>
              </w:rPr>
              <w:t>.</w:t>
            </w:r>
          </w:p>
        </w:tc>
        <w:tc>
          <w:tcPr>
            <w:tcW w:w="1204" w:type="dxa"/>
            <w:tcBorders>
              <w:top w:val="thinThickSmallGap" w:sz="2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714-6-2</w:t>
            </w:r>
          </w:p>
        </w:tc>
        <w:tc>
          <w:tcPr>
            <w:tcW w:w="5940" w:type="dxa"/>
            <w:tcBorders>
              <w:top w:val="thinThickSmallGap" w:sz="2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color w:val="000000"/>
              </w:rPr>
            </w:pPr>
            <w:r w:rsidRPr="0097306C">
              <w:rPr>
                <w:rFonts w:ascii="Arial" w:hAnsi="Arial" w:cs="Arial"/>
                <w:b/>
                <w:bCs/>
                <w:color w:val="000000"/>
              </w:rPr>
              <w:t>Naknada za komunalno opremanje građevinskog zemljišta - komunalije</w:t>
            </w:r>
          </w:p>
        </w:tc>
        <w:tc>
          <w:tcPr>
            <w:tcW w:w="1501" w:type="dxa"/>
            <w:tcBorders>
              <w:top w:val="thinThickSmallGap" w:sz="2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2.500.000,00</w:t>
            </w:r>
          </w:p>
        </w:tc>
      </w:tr>
      <w:tr w:rsidR="004750FE" w:rsidRPr="0097306C" w:rsidTr="00EA048B">
        <w:trPr>
          <w:trHeight w:val="549"/>
          <w:jc w:val="center"/>
        </w:trPr>
        <w:tc>
          <w:tcPr>
            <w:tcW w:w="436" w:type="dxa"/>
            <w:tcBorders>
              <w:top w:val="double" w:sz="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2.</w:t>
            </w:r>
          </w:p>
        </w:tc>
        <w:tc>
          <w:tcPr>
            <w:tcW w:w="1204"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714-6-3</w:t>
            </w:r>
          </w:p>
        </w:tc>
        <w:tc>
          <w:tcPr>
            <w:tcW w:w="5940" w:type="dxa"/>
            <w:tcBorders>
              <w:top w:val="double" w:sz="4" w:space="0" w:color="auto"/>
              <w:left w:val="double" w:sz="4" w:space="0" w:color="auto"/>
              <w:bottom w:val="double" w:sz="4" w:space="0" w:color="auto"/>
              <w:right w:val="double" w:sz="4" w:space="0" w:color="auto"/>
            </w:tcBorders>
            <w:vAlign w:val="center"/>
            <w:hideMark/>
          </w:tcPr>
          <w:p w:rsidR="004750FE" w:rsidRPr="00EA048B" w:rsidRDefault="004750FE" w:rsidP="004750FE">
            <w:pPr>
              <w:spacing w:after="0"/>
              <w:rPr>
                <w:rFonts w:ascii="Arial" w:hAnsi="Arial" w:cs="Arial"/>
                <w:b/>
                <w:bCs/>
                <w:color w:val="000000"/>
                <w:lang w:val="es-US"/>
              </w:rPr>
            </w:pPr>
            <w:r w:rsidRPr="00EA048B">
              <w:rPr>
                <w:rFonts w:ascii="Arial" w:hAnsi="Arial" w:cs="Arial"/>
                <w:b/>
                <w:bCs/>
                <w:color w:val="000000"/>
                <w:lang w:val="es-US"/>
              </w:rPr>
              <w:t>Naknada od urbane sanacije i drugih izvora prihoda u skladu sa zakonom</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100.000,00</w:t>
            </w:r>
          </w:p>
        </w:tc>
      </w:tr>
      <w:tr w:rsidR="004750FE" w:rsidRPr="0097306C" w:rsidTr="00EA048B">
        <w:trPr>
          <w:trHeight w:val="549"/>
          <w:jc w:val="center"/>
        </w:trPr>
        <w:tc>
          <w:tcPr>
            <w:tcW w:w="436" w:type="dxa"/>
            <w:tcBorders>
              <w:top w:val="double" w:sz="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3.</w:t>
            </w:r>
          </w:p>
        </w:tc>
        <w:tc>
          <w:tcPr>
            <w:tcW w:w="1204"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714-6-3-1</w:t>
            </w:r>
          </w:p>
        </w:tc>
        <w:tc>
          <w:tcPr>
            <w:tcW w:w="5940"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color w:val="000000"/>
              </w:rPr>
            </w:pPr>
            <w:r w:rsidRPr="0097306C">
              <w:rPr>
                <w:rFonts w:ascii="Arial" w:hAnsi="Arial" w:cs="Arial"/>
                <w:b/>
                <w:bCs/>
                <w:color w:val="000000"/>
              </w:rPr>
              <w:t>Posebna naknada na investicije</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70.000,00</w:t>
            </w:r>
          </w:p>
        </w:tc>
      </w:tr>
      <w:tr w:rsidR="004750FE" w:rsidRPr="0097306C" w:rsidTr="00EA048B">
        <w:trPr>
          <w:trHeight w:val="549"/>
          <w:jc w:val="center"/>
        </w:trPr>
        <w:tc>
          <w:tcPr>
            <w:tcW w:w="436" w:type="dxa"/>
            <w:tcBorders>
              <w:top w:val="double" w:sz="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4.</w:t>
            </w:r>
          </w:p>
        </w:tc>
        <w:tc>
          <w:tcPr>
            <w:tcW w:w="1204"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714-6-4</w:t>
            </w:r>
          </w:p>
        </w:tc>
        <w:tc>
          <w:tcPr>
            <w:tcW w:w="5940"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color w:val="000000"/>
              </w:rPr>
            </w:pPr>
            <w:r w:rsidRPr="0097306C">
              <w:rPr>
                <w:rFonts w:ascii="Arial" w:hAnsi="Arial" w:cs="Arial"/>
                <w:b/>
                <w:bCs/>
                <w:color w:val="000000"/>
              </w:rPr>
              <w:t xml:space="preserve">Naknada za komunalno opremanje i zakup građev. </w:t>
            </w:r>
            <w:proofErr w:type="gramStart"/>
            <w:r w:rsidRPr="0097306C">
              <w:rPr>
                <w:rFonts w:ascii="Arial" w:hAnsi="Arial" w:cs="Arial"/>
                <w:b/>
                <w:bCs/>
                <w:color w:val="000000"/>
              </w:rPr>
              <w:t>zemljišta</w:t>
            </w:r>
            <w:proofErr w:type="gramEnd"/>
            <w:r w:rsidRPr="0097306C">
              <w:rPr>
                <w:rFonts w:ascii="Arial" w:hAnsi="Arial" w:cs="Arial"/>
                <w:b/>
                <w:bCs/>
                <w:color w:val="000000"/>
              </w:rPr>
              <w:t xml:space="preserve"> - privr. objekti</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200.000,00</w:t>
            </w:r>
          </w:p>
        </w:tc>
      </w:tr>
      <w:tr w:rsidR="004750FE" w:rsidRPr="0097306C" w:rsidTr="00EA048B">
        <w:trPr>
          <w:trHeight w:val="549"/>
          <w:jc w:val="center"/>
        </w:trPr>
        <w:tc>
          <w:tcPr>
            <w:tcW w:w="436" w:type="dxa"/>
            <w:tcBorders>
              <w:top w:val="double" w:sz="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5.</w:t>
            </w:r>
          </w:p>
        </w:tc>
        <w:tc>
          <w:tcPr>
            <w:tcW w:w="1204"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721-1</w:t>
            </w:r>
          </w:p>
        </w:tc>
        <w:tc>
          <w:tcPr>
            <w:tcW w:w="5940" w:type="dxa"/>
            <w:tcBorders>
              <w:top w:val="double" w:sz="4" w:space="0" w:color="auto"/>
              <w:left w:val="double" w:sz="4" w:space="0" w:color="auto"/>
              <w:bottom w:val="double" w:sz="4" w:space="0" w:color="auto"/>
              <w:right w:val="double" w:sz="4" w:space="0" w:color="auto"/>
            </w:tcBorders>
            <w:vAlign w:val="center"/>
            <w:hideMark/>
          </w:tcPr>
          <w:p w:rsidR="004750FE" w:rsidRPr="00FA5147" w:rsidRDefault="00FA5147" w:rsidP="004750FE">
            <w:pPr>
              <w:spacing w:after="0"/>
              <w:rPr>
                <w:rFonts w:ascii="Arial" w:hAnsi="Arial" w:cs="Arial"/>
                <w:b/>
                <w:bCs/>
                <w:color w:val="000000"/>
                <w:lang w:val="es-US"/>
              </w:rPr>
            </w:pPr>
            <w:r w:rsidRPr="00FA5147">
              <w:rPr>
                <w:rFonts w:ascii="Arial" w:hAnsi="Arial" w:cs="Arial"/>
                <w:b/>
                <w:bCs/>
                <w:color w:val="000000"/>
                <w:lang w:val="es-US"/>
              </w:rPr>
              <w:t>Prodaje nepokretnosti u korist budžeta opš</w:t>
            </w:r>
            <w:r>
              <w:rPr>
                <w:rFonts w:ascii="Arial" w:hAnsi="Arial" w:cs="Arial"/>
                <w:b/>
                <w:bCs/>
                <w:color w:val="000000"/>
                <w:lang w:val="es-US"/>
              </w:rPr>
              <w:t>tine</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1.500.000,00</w:t>
            </w:r>
          </w:p>
        </w:tc>
      </w:tr>
      <w:tr w:rsidR="004750FE" w:rsidRPr="0097306C" w:rsidTr="00EA048B">
        <w:trPr>
          <w:trHeight w:val="549"/>
          <w:jc w:val="center"/>
        </w:trPr>
        <w:tc>
          <w:tcPr>
            <w:tcW w:w="436" w:type="dxa"/>
            <w:tcBorders>
              <w:top w:val="double" w:sz="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6.</w:t>
            </w:r>
          </w:p>
        </w:tc>
        <w:tc>
          <w:tcPr>
            <w:tcW w:w="1204"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732-1</w:t>
            </w:r>
          </w:p>
        </w:tc>
        <w:tc>
          <w:tcPr>
            <w:tcW w:w="5940"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color w:val="000000"/>
              </w:rPr>
            </w:pPr>
            <w:r w:rsidRPr="0097306C">
              <w:rPr>
                <w:rFonts w:ascii="Arial" w:hAnsi="Arial" w:cs="Arial"/>
                <w:b/>
                <w:bCs/>
                <w:color w:val="000000"/>
              </w:rPr>
              <w:t>Sredstva prenesena iz prethodne godine</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2.165.000,00</w:t>
            </w:r>
          </w:p>
        </w:tc>
      </w:tr>
      <w:tr w:rsidR="004750FE" w:rsidRPr="0097306C" w:rsidTr="00EA048B">
        <w:trPr>
          <w:trHeight w:val="549"/>
          <w:jc w:val="center"/>
        </w:trPr>
        <w:tc>
          <w:tcPr>
            <w:tcW w:w="436" w:type="dxa"/>
            <w:tcBorders>
              <w:top w:val="double" w:sz="4" w:space="0" w:color="auto"/>
              <w:left w:val="thinThickSmallGap" w:sz="24" w:space="0" w:color="auto"/>
              <w:bottom w:val="double" w:sz="4" w:space="0" w:color="auto"/>
              <w:right w:val="double" w:sz="4" w:space="0" w:color="auto"/>
            </w:tcBorders>
            <w:shd w:val="clear" w:color="auto" w:fill="91AFDF"/>
            <w:vAlign w:val="center"/>
            <w:hideMark/>
          </w:tcPr>
          <w:p w:rsidR="004750FE" w:rsidRPr="0097306C" w:rsidRDefault="004750FE" w:rsidP="004750FE">
            <w:pPr>
              <w:spacing w:after="0"/>
              <w:rPr>
                <w:rFonts w:ascii="Arial" w:hAnsi="Arial" w:cs="Arial"/>
                <w:b/>
              </w:rPr>
            </w:pPr>
            <w:r w:rsidRPr="0097306C">
              <w:rPr>
                <w:rFonts w:ascii="Arial" w:hAnsi="Arial" w:cs="Arial"/>
                <w:b/>
              </w:rPr>
              <w:t>7.</w:t>
            </w:r>
          </w:p>
        </w:tc>
        <w:tc>
          <w:tcPr>
            <w:tcW w:w="1204"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741-2</w:t>
            </w:r>
          </w:p>
        </w:tc>
        <w:tc>
          <w:tcPr>
            <w:tcW w:w="5940" w:type="dxa"/>
            <w:tcBorders>
              <w:top w:val="double" w:sz="4" w:space="0" w:color="auto"/>
              <w:left w:val="double" w:sz="4" w:space="0" w:color="auto"/>
              <w:bottom w:val="double" w:sz="4" w:space="0" w:color="auto"/>
              <w:right w:val="double" w:sz="4" w:space="0" w:color="auto"/>
            </w:tcBorders>
            <w:vAlign w:val="center"/>
            <w:hideMark/>
          </w:tcPr>
          <w:p w:rsidR="004750FE" w:rsidRPr="00EA048B" w:rsidRDefault="004750FE" w:rsidP="004750FE">
            <w:pPr>
              <w:spacing w:after="0"/>
              <w:rPr>
                <w:rFonts w:ascii="Arial" w:hAnsi="Arial" w:cs="Arial"/>
                <w:b/>
                <w:bCs/>
                <w:color w:val="000000"/>
                <w:lang w:val="es-US"/>
              </w:rPr>
            </w:pPr>
            <w:r w:rsidRPr="00EA048B">
              <w:rPr>
                <w:rFonts w:ascii="Arial" w:hAnsi="Arial" w:cs="Arial"/>
                <w:b/>
                <w:bCs/>
                <w:color w:val="000000"/>
                <w:lang w:val="es-US"/>
              </w:rPr>
              <w:t>Kapitalne donacije u korist budžeta</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color w:val="000000"/>
              </w:rPr>
            </w:pPr>
            <w:r w:rsidRPr="0097306C">
              <w:rPr>
                <w:rFonts w:ascii="Arial" w:hAnsi="Arial" w:cs="Arial"/>
                <w:b/>
                <w:bCs/>
                <w:color w:val="000000"/>
              </w:rPr>
              <w:t>210.000,00</w:t>
            </w:r>
          </w:p>
        </w:tc>
      </w:tr>
      <w:tr w:rsidR="004750FE" w:rsidRPr="0097306C" w:rsidTr="00EA048B">
        <w:trPr>
          <w:cantSplit/>
          <w:trHeight w:val="510"/>
          <w:jc w:val="center"/>
        </w:trPr>
        <w:tc>
          <w:tcPr>
            <w:tcW w:w="7580" w:type="dxa"/>
            <w:gridSpan w:val="3"/>
            <w:tcBorders>
              <w:top w:val="double" w:sz="4" w:space="0" w:color="auto"/>
              <w:left w:val="thinThickSmallGap" w:sz="24" w:space="0" w:color="auto"/>
              <w:bottom w:val="thickThinSmallGap" w:sz="24" w:space="0" w:color="auto"/>
              <w:right w:val="double" w:sz="4" w:space="0" w:color="auto"/>
            </w:tcBorders>
            <w:shd w:val="clear" w:color="auto" w:fill="91AFDF"/>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U K U P N O :</w:t>
            </w:r>
          </w:p>
        </w:tc>
        <w:tc>
          <w:tcPr>
            <w:tcW w:w="1501" w:type="dxa"/>
            <w:tcBorders>
              <w:top w:val="double" w:sz="4" w:space="0" w:color="auto"/>
              <w:left w:val="double" w:sz="4" w:space="0" w:color="auto"/>
              <w:bottom w:val="thickThinSmallGap" w:sz="24" w:space="0" w:color="auto"/>
              <w:right w:val="thickThinSmallGap" w:sz="24" w:space="0" w:color="auto"/>
            </w:tcBorders>
            <w:shd w:val="clear" w:color="auto" w:fill="91AFDF"/>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6.745.000,00</w:t>
            </w:r>
          </w:p>
        </w:tc>
      </w:tr>
    </w:tbl>
    <w:p w:rsidR="004750FE" w:rsidRPr="0097306C" w:rsidRDefault="004750FE" w:rsidP="004750FE">
      <w:pPr>
        <w:rPr>
          <w:b/>
          <w:i/>
        </w:rPr>
      </w:pPr>
    </w:p>
    <w:p w:rsidR="004750FE" w:rsidRPr="004750FE" w:rsidRDefault="004750FE" w:rsidP="004750FE">
      <w:pPr>
        <w:jc w:val="center"/>
        <w:rPr>
          <w:b/>
          <w:iCs/>
          <w:sz w:val="32"/>
        </w:rPr>
      </w:pPr>
      <w:r w:rsidRPr="0097306C">
        <w:rPr>
          <w:b/>
          <w:iCs/>
          <w:sz w:val="32"/>
        </w:rPr>
        <w:t>IZDACI</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88"/>
        <w:gridCol w:w="1152"/>
        <w:gridCol w:w="5925"/>
        <w:gridCol w:w="1501"/>
      </w:tblGrid>
      <w:tr w:rsidR="004750FE" w:rsidRPr="0097306C" w:rsidTr="00EA048B">
        <w:trPr>
          <w:trHeight w:val="541"/>
          <w:jc w:val="center"/>
        </w:trPr>
        <w:tc>
          <w:tcPr>
            <w:tcW w:w="488" w:type="dxa"/>
            <w:tcBorders>
              <w:top w:val="thinThickSmallGap" w:sz="2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numPr>
                <w:ilvl w:val="0"/>
                <w:numId w:val="9"/>
              </w:numPr>
              <w:spacing w:after="0" w:line="240" w:lineRule="auto"/>
              <w:rPr>
                <w:rFonts w:ascii="Arial" w:hAnsi="Arial" w:cs="Arial"/>
                <w:b/>
              </w:rPr>
            </w:pPr>
          </w:p>
        </w:tc>
        <w:tc>
          <w:tcPr>
            <w:tcW w:w="1152" w:type="dxa"/>
            <w:tcBorders>
              <w:top w:val="thinThickSmallGap" w:sz="2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441-2</w:t>
            </w:r>
          </w:p>
        </w:tc>
        <w:tc>
          <w:tcPr>
            <w:tcW w:w="5925" w:type="dxa"/>
            <w:tcBorders>
              <w:top w:val="thinThickSmallGap" w:sz="2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Izdaci za lokalnu infrastrukturu</w:t>
            </w:r>
          </w:p>
        </w:tc>
        <w:tc>
          <w:tcPr>
            <w:tcW w:w="1501" w:type="dxa"/>
            <w:tcBorders>
              <w:top w:val="thinThickSmallGap" w:sz="2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4.300.000,00</w:t>
            </w:r>
          </w:p>
        </w:tc>
      </w:tr>
      <w:tr w:rsidR="004750FE" w:rsidRPr="0097306C" w:rsidTr="00EA048B">
        <w:trPr>
          <w:trHeight w:val="539"/>
          <w:jc w:val="center"/>
        </w:trPr>
        <w:tc>
          <w:tcPr>
            <w:tcW w:w="488" w:type="dxa"/>
            <w:tcBorders>
              <w:top w:val="double" w:sz="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numPr>
                <w:ilvl w:val="0"/>
                <w:numId w:val="9"/>
              </w:numPr>
              <w:spacing w:after="0" w:line="240" w:lineRule="auto"/>
              <w:rPr>
                <w:rFonts w:ascii="Arial" w:hAnsi="Arial" w:cs="Arial"/>
                <w:b/>
              </w:rPr>
            </w:pPr>
          </w:p>
        </w:tc>
        <w:tc>
          <w:tcPr>
            <w:tcW w:w="1152"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441-3</w:t>
            </w:r>
          </w:p>
        </w:tc>
        <w:tc>
          <w:tcPr>
            <w:tcW w:w="5925"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Izdaci za građevinske objekte</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1.210.000,00</w:t>
            </w:r>
          </w:p>
        </w:tc>
      </w:tr>
      <w:tr w:rsidR="004750FE" w:rsidRPr="0097306C" w:rsidTr="00EA048B">
        <w:trPr>
          <w:trHeight w:val="533"/>
          <w:jc w:val="center"/>
        </w:trPr>
        <w:tc>
          <w:tcPr>
            <w:tcW w:w="488" w:type="dxa"/>
            <w:tcBorders>
              <w:top w:val="double" w:sz="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numPr>
                <w:ilvl w:val="0"/>
                <w:numId w:val="9"/>
              </w:numPr>
              <w:spacing w:after="0" w:line="240" w:lineRule="auto"/>
              <w:rPr>
                <w:rFonts w:ascii="Arial" w:hAnsi="Arial" w:cs="Arial"/>
                <w:b/>
              </w:rPr>
            </w:pPr>
          </w:p>
        </w:tc>
        <w:tc>
          <w:tcPr>
            <w:tcW w:w="1152"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441-4</w:t>
            </w:r>
          </w:p>
        </w:tc>
        <w:tc>
          <w:tcPr>
            <w:tcW w:w="5925"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Izdaci za uređenje zemljišta</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1.400.000,00</w:t>
            </w:r>
          </w:p>
        </w:tc>
      </w:tr>
      <w:tr w:rsidR="004750FE" w:rsidRPr="0097306C" w:rsidTr="00EA048B">
        <w:trPr>
          <w:trHeight w:val="513"/>
          <w:jc w:val="center"/>
        </w:trPr>
        <w:tc>
          <w:tcPr>
            <w:tcW w:w="488" w:type="dxa"/>
            <w:tcBorders>
              <w:top w:val="double" w:sz="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numPr>
                <w:ilvl w:val="0"/>
                <w:numId w:val="9"/>
              </w:numPr>
              <w:spacing w:after="0" w:line="240" w:lineRule="auto"/>
              <w:rPr>
                <w:rFonts w:ascii="Arial" w:hAnsi="Arial" w:cs="Arial"/>
                <w:b/>
              </w:rPr>
            </w:pPr>
          </w:p>
        </w:tc>
        <w:tc>
          <w:tcPr>
            <w:tcW w:w="1152"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441-5</w:t>
            </w:r>
          </w:p>
        </w:tc>
        <w:tc>
          <w:tcPr>
            <w:tcW w:w="5925"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Izdaci za opremu</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352.000,00</w:t>
            </w:r>
          </w:p>
        </w:tc>
      </w:tr>
      <w:tr w:rsidR="004750FE" w:rsidRPr="0097306C" w:rsidTr="00EA048B">
        <w:trPr>
          <w:trHeight w:val="493"/>
          <w:jc w:val="center"/>
        </w:trPr>
        <w:tc>
          <w:tcPr>
            <w:tcW w:w="488" w:type="dxa"/>
            <w:tcBorders>
              <w:top w:val="double" w:sz="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numPr>
                <w:ilvl w:val="0"/>
                <w:numId w:val="9"/>
              </w:numPr>
              <w:spacing w:after="0" w:line="240" w:lineRule="auto"/>
              <w:rPr>
                <w:rFonts w:ascii="Arial" w:hAnsi="Arial" w:cs="Arial"/>
                <w:b/>
              </w:rPr>
            </w:pPr>
          </w:p>
        </w:tc>
        <w:tc>
          <w:tcPr>
            <w:tcW w:w="1152"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441-6</w:t>
            </w:r>
          </w:p>
        </w:tc>
        <w:tc>
          <w:tcPr>
            <w:tcW w:w="5925"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Investiciono održavanje</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800.000,00</w:t>
            </w:r>
          </w:p>
        </w:tc>
      </w:tr>
      <w:tr w:rsidR="004750FE" w:rsidRPr="0097306C" w:rsidTr="00EA048B">
        <w:trPr>
          <w:trHeight w:val="493"/>
          <w:jc w:val="center"/>
        </w:trPr>
        <w:tc>
          <w:tcPr>
            <w:tcW w:w="488" w:type="dxa"/>
            <w:tcBorders>
              <w:top w:val="double" w:sz="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numPr>
                <w:ilvl w:val="0"/>
                <w:numId w:val="9"/>
              </w:numPr>
              <w:spacing w:after="0" w:line="240" w:lineRule="auto"/>
              <w:rPr>
                <w:rFonts w:ascii="Arial" w:hAnsi="Arial" w:cs="Arial"/>
                <w:b/>
              </w:rPr>
            </w:pPr>
          </w:p>
        </w:tc>
        <w:tc>
          <w:tcPr>
            <w:tcW w:w="1152"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441-9</w:t>
            </w:r>
          </w:p>
        </w:tc>
        <w:tc>
          <w:tcPr>
            <w:tcW w:w="5925" w:type="dxa"/>
            <w:tcBorders>
              <w:top w:val="double" w:sz="4" w:space="0" w:color="auto"/>
              <w:left w:val="double" w:sz="4" w:space="0" w:color="auto"/>
              <w:bottom w:val="double" w:sz="4" w:space="0" w:color="auto"/>
              <w:right w:val="double" w:sz="4" w:space="0" w:color="auto"/>
            </w:tcBorders>
            <w:vAlign w:val="center"/>
            <w:hideMark/>
          </w:tcPr>
          <w:p w:rsidR="004750FE" w:rsidRPr="00EA048B" w:rsidRDefault="004750FE" w:rsidP="004750FE">
            <w:pPr>
              <w:spacing w:after="0"/>
              <w:rPr>
                <w:rFonts w:ascii="Arial" w:hAnsi="Arial" w:cs="Arial"/>
                <w:b/>
                <w:bCs/>
                <w:lang w:val="es-US"/>
              </w:rPr>
            </w:pPr>
            <w:r w:rsidRPr="00EA048B">
              <w:rPr>
                <w:rFonts w:ascii="Arial" w:hAnsi="Arial" w:cs="Arial"/>
                <w:b/>
                <w:bCs/>
                <w:lang w:val="es-US"/>
              </w:rPr>
              <w:t>Ostali kapitalni izdaci - troškovi finansiranja IPA i EU projekata</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210.000,00</w:t>
            </w:r>
          </w:p>
        </w:tc>
      </w:tr>
      <w:tr w:rsidR="004750FE" w:rsidRPr="0097306C" w:rsidTr="00EA048B">
        <w:trPr>
          <w:trHeight w:val="541"/>
          <w:jc w:val="center"/>
        </w:trPr>
        <w:tc>
          <w:tcPr>
            <w:tcW w:w="488" w:type="dxa"/>
            <w:tcBorders>
              <w:top w:val="double" w:sz="4" w:space="0" w:color="auto"/>
              <w:left w:val="thinThickSmallGap" w:sz="24" w:space="0" w:color="auto"/>
              <w:bottom w:val="double" w:sz="4" w:space="0" w:color="auto"/>
              <w:right w:val="double" w:sz="4" w:space="0" w:color="auto"/>
            </w:tcBorders>
            <w:shd w:val="clear" w:color="auto" w:fill="91AFDF"/>
            <w:vAlign w:val="center"/>
          </w:tcPr>
          <w:p w:rsidR="004750FE" w:rsidRPr="0097306C" w:rsidRDefault="004750FE" w:rsidP="004750FE">
            <w:pPr>
              <w:spacing w:after="0"/>
              <w:ind w:left="540"/>
              <w:rPr>
                <w:rFonts w:ascii="Arial" w:hAnsi="Arial" w:cs="Arial"/>
                <w:b/>
              </w:rPr>
            </w:pPr>
          </w:p>
        </w:tc>
        <w:tc>
          <w:tcPr>
            <w:tcW w:w="1152" w:type="dxa"/>
            <w:tcBorders>
              <w:top w:val="double" w:sz="4" w:space="0" w:color="auto"/>
              <w:left w:val="double" w:sz="4" w:space="0" w:color="auto"/>
              <w:bottom w:val="double" w:sz="4" w:space="0" w:color="auto"/>
              <w:right w:val="double" w:sz="4" w:space="0" w:color="auto"/>
            </w:tcBorders>
            <w:vAlign w:val="center"/>
          </w:tcPr>
          <w:p w:rsidR="004750FE" w:rsidRPr="0097306C" w:rsidRDefault="004750FE" w:rsidP="004750FE">
            <w:pPr>
              <w:spacing w:after="0"/>
              <w:rPr>
                <w:rFonts w:ascii="Arial" w:hAnsi="Arial" w:cs="Arial"/>
                <w:b/>
                <w:bCs/>
              </w:rPr>
            </w:pPr>
            <w:r w:rsidRPr="0097306C">
              <w:rPr>
                <w:rFonts w:ascii="Arial" w:hAnsi="Arial" w:cs="Arial"/>
                <w:b/>
                <w:bCs/>
              </w:rPr>
              <w:t>4631</w:t>
            </w:r>
          </w:p>
        </w:tc>
        <w:tc>
          <w:tcPr>
            <w:tcW w:w="5925" w:type="dxa"/>
            <w:tcBorders>
              <w:top w:val="double" w:sz="4" w:space="0" w:color="auto"/>
              <w:left w:val="double" w:sz="4" w:space="0" w:color="auto"/>
              <w:bottom w:val="double" w:sz="4" w:space="0" w:color="auto"/>
              <w:right w:val="double" w:sz="4" w:space="0" w:color="auto"/>
            </w:tcBorders>
            <w:vAlign w:val="center"/>
            <w:hideMark/>
          </w:tcPr>
          <w:p w:rsidR="004750FE" w:rsidRPr="0097306C" w:rsidRDefault="004750FE" w:rsidP="004750FE">
            <w:pPr>
              <w:spacing w:after="0"/>
              <w:rPr>
                <w:rFonts w:ascii="Arial" w:hAnsi="Arial" w:cs="Arial"/>
                <w:b/>
                <w:bCs/>
              </w:rPr>
            </w:pPr>
            <w:r w:rsidRPr="0097306C">
              <w:rPr>
                <w:rFonts w:ascii="Arial" w:hAnsi="Arial" w:cs="Arial"/>
                <w:b/>
                <w:bCs/>
              </w:rPr>
              <w:t>Otplata duga</w:t>
            </w:r>
          </w:p>
        </w:tc>
        <w:tc>
          <w:tcPr>
            <w:tcW w:w="1501" w:type="dxa"/>
            <w:tcBorders>
              <w:top w:val="double" w:sz="4" w:space="0" w:color="auto"/>
              <w:left w:val="double" w:sz="4" w:space="0" w:color="auto"/>
              <w:bottom w:val="double" w:sz="4" w:space="0" w:color="auto"/>
              <w:right w:val="thickThinSmallGap" w:sz="24" w:space="0" w:color="auto"/>
            </w:tcBorders>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810.000,00</w:t>
            </w:r>
          </w:p>
        </w:tc>
      </w:tr>
      <w:tr w:rsidR="004750FE" w:rsidRPr="0097306C" w:rsidTr="00EA048B">
        <w:trPr>
          <w:cantSplit/>
          <w:trHeight w:val="510"/>
          <w:jc w:val="center"/>
        </w:trPr>
        <w:tc>
          <w:tcPr>
            <w:tcW w:w="7565" w:type="dxa"/>
            <w:gridSpan w:val="3"/>
            <w:tcBorders>
              <w:top w:val="double" w:sz="4" w:space="0" w:color="auto"/>
              <w:left w:val="thinThickSmallGap" w:sz="24" w:space="0" w:color="auto"/>
              <w:bottom w:val="thickThinSmallGap" w:sz="24" w:space="0" w:color="auto"/>
              <w:right w:val="double" w:sz="4" w:space="0" w:color="auto"/>
            </w:tcBorders>
            <w:shd w:val="clear" w:color="auto" w:fill="91AFDF"/>
            <w:vAlign w:val="center"/>
            <w:hideMark/>
          </w:tcPr>
          <w:p w:rsidR="004750FE" w:rsidRPr="0097306C" w:rsidRDefault="004750FE" w:rsidP="004750FE">
            <w:pPr>
              <w:tabs>
                <w:tab w:val="left" w:pos="2895"/>
              </w:tabs>
              <w:spacing w:after="0"/>
              <w:jc w:val="right"/>
              <w:rPr>
                <w:rFonts w:ascii="Arial" w:hAnsi="Arial" w:cs="Arial"/>
                <w:b/>
                <w:bCs/>
              </w:rPr>
            </w:pPr>
            <w:r w:rsidRPr="0097306C">
              <w:rPr>
                <w:rFonts w:ascii="Arial" w:hAnsi="Arial" w:cs="Arial"/>
                <w:b/>
                <w:bCs/>
              </w:rPr>
              <w:t>U K U P N O :</w:t>
            </w:r>
          </w:p>
        </w:tc>
        <w:tc>
          <w:tcPr>
            <w:tcW w:w="1501" w:type="dxa"/>
            <w:tcBorders>
              <w:top w:val="double" w:sz="4" w:space="0" w:color="auto"/>
              <w:left w:val="double" w:sz="4" w:space="0" w:color="auto"/>
              <w:bottom w:val="thickThinSmallGap" w:sz="24" w:space="0" w:color="auto"/>
              <w:right w:val="thickThinSmallGap" w:sz="24" w:space="0" w:color="auto"/>
            </w:tcBorders>
            <w:shd w:val="clear" w:color="auto" w:fill="91AFDF"/>
            <w:vAlign w:val="center"/>
            <w:hideMark/>
          </w:tcPr>
          <w:p w:rsidR="004750FE" w:rsidRPr="0097306C" w:rsidRDefault="004750FE" w:rsidP="004750FE">
            <w:pPr>
              <w:spacing w:after="0"/>
              <w:jc w:val="right"/>
              <w:rPr>
                <w:rFonts w:ascii="Arial" w:hAnsi="Arial" w:cs="Arial"/>
                <w:b/>
                <w:bCs/>
              </w:rPr>
            </w:pPr>
            <w:r w:rsidRPr="0097306C">
              <w:rPr>
                <w:rFonts w:ascii="Arial" w:hAnsi="Arial" w:cs="Arial"/>
                <w:b/>
                <w:bCs/>
              </w:rPr>
              <w:t>9.082.000,00</w:t>
            </w:r>
          </w:p>
        </w:tc>
      </w:tr>
    </w:tbl>
    <w:p w:rsidR="004750FE" w:rsidRPr="0097306C" w:rsidRDefault="004750FE" w:rsidP="004750FE">
      <w:pPr>
        <w:tabs>
          <w:tab w:val="left" w:pos="1276"/>
          <w:tab w:val="left" w:pos="9072"/>
          <w:tab w:val="left" w:pos="9639"/>
        </w:tabs>
        <w:spacing w:after="0"/>
        <w:ind w:right="326"/>
        <w:rPr>
          <w:rFonts w:ascii="Albertus Extra Bold" w:hAnsi="Albertus Extra Bold"/>
          <w:bCs/>
          <w:i/>
        </w:rPr>
      </w:pPr>
    </w:p>
    <w:p w:rsidR="004750FE" w:rsidRDefault="004750FE" w:rsidP="004750FE">
      <w:pPr>
        <w:tabs>
          <w:tab w:val="left" w:pos="1276"/>
          <w:tab w:val="left" w:pos="9072"/>
          <w:tab w:val="left" w:pos="9639"/>
        </w:tabs>
        <w:ind w:right="326"/>
        <w:rPr>
          <w:rFonts w:ascii="Albertus Extra Bold" w:hAnsi="Albertus Extra Bold"/>
          <w:bCs/>
          <w:i/>
        </w:rPr>
      </w:pPr>
    </w:p>
    <w:p w:rsidR="004750FE" w:rsidRPr="0097306C" w:rsidRDefault="004750FE" w:rsidP="004750FE">
      <w:pPr>
        <w:tabs>
          <w:tab w:val="left" w:pos="1276"/>
          <w:tab w:val="left" w:pos="9072"/>
          <w:tab w:val="left" w:pos="9639"/>
        </w:tabs>
        <w:ind w:right="326"/>
        <w:rPr>
          <w:rFonts w:ascii="Albertus Extra Bold" w:hAnsi="Albertus Extra Bold"/>
          <w:bCs/>
          <w:i/>
        </w:rPr>
      </w:pPr>
    </w:p>
    <w:tbl>
      <w:tblPr>
        <w:tblW w:w="11612" w:type="dxa"/>
        <w:jc w:val="center"/>
        <w:tblInd w:w="108" w:type="dxa"/>
        <w:tblLook w:val="04A0"/>
      </w:tblPr>
      <w:tblGrid>
        <w:gridCol w:w="279"/>
        <w:gridCol w:w="11072"/>
        <w:gridCol w:w="279"/>
      </w:tblGrid>
      <w:tr w:rsidR="004750FE" w:rsidRPr="0097306C" w:rsidTr="004750FE">
        <w:trPr>
          <w:trHeight w:val="450"/>
          <w:jc w:val="center"/>
        </w:trPr>
        <w:tc>
          <w:tcPr>
            <w:tcW w:w="270" w:type="dxa"/>
            <w:tcBorders>
              <w:top w:val="nil"/>
              <w:left w:val="nil"/>
              <w:bottom w:val="nil"/>
              <w:right w:val="nil"/>
            </w:tcBorders>
            <w:shd w:val="clear" w:color="000000" w:fill="808080"/>
            <w:noWrap/>
            <w:vAlign w:val="bottom"/>
            <w:hideMark/>
          </w:tcPr>
          <w:p w:rsidR="004750FE" w:rsidRPr="0097306C" w:rsidRDefault="004750FE" w:rsidP="00EA048B">
            <w:pPr>
              <w:rPr>
                <w:rFonts w:ascii="Tahoma" w:hAnsi="Tahoma" w:cs="Tahoma"/>
                <w:sz w:val="20"/>
                <w:szCs w:val="20"/>
              </w:rPr>
            </w:pPr>
            <w:r w:rsidRPr="0097306C">
              <w:rPr>
                <w:rFonts w:ascii="Tahoma" w:hAnsi="Tahoma" w:cs="Tahoma"/>
                <w:sz w:val="20"/>
                <w:szCs w:val="20"/>
              </w:rPr>
              <w:lastRenderedPageBreak/>
              <w:t> </w:t>
            </w:r>
          </w:p>
        </w:tc>
        <w:tc>
          <w:tcPr>
            <w:tcW w:w="11072" w:type="dxa"/>
            <w:tcBorders>
              <w:top w:val="nil"/>
              <w:left w:val="nil"/>
              <w:bottom w:val="nil"/>
              <w:right w:val="nil"/>
            </w:tcBorders>
            <w:shd w:val="clear" w:color="000000" w:fill="808080"/>
            <w:noWrap/>
            <w:vAlign w:val="center"/>
            <w:hideMark/>
          </w:tcPr>
          <w:p w:rsidR="004750FE" w:rsidRPr="0097306C" w:rsidRDefault="004750FE" w:rsidP="00EA048B">
            <w:pPr>
              <w:rPr>
                <w:rFonts w:ascii="Verdana" w:hAnsi="Verdana" w:cs="Arial"/>
                <w:b/>
                <w:bCs/>
                <w:color w:val="FFFFFF"/>
                <w:sz w:val="36"/>
                <w:szCs w:val="36"/>
              </w:rPr>
            </w:pPr>
            <w:r w:rsidRPr="0097306C">
              <w:rPr>
                <w:rFonts w:ascii="Verdana" w:hAnsi="Verdana" w:cs="Arial"/>
                <w:b/>
                <w:bCs/>
                <w:color w:val="FFFFFF"/>
                <w:sz w:val="36"/>
                <w:szCs w:val="36"/>
              </w:rPr>
              <w:t>Primici kapitalnog budžeta</w:t>
            </w:r>
          </w:p>
        </w:tc>
        <w:tc>
          <w:tcPr>
            <w:tcW w:w="270" w:type="dxa"/>
            <w:tcBorders>
              <w:top w:val="nil"/>
              <w:left w:val="nil"/>
              <w:bottom w:val="nil"/>
              <w:right w:val="nil"/>
            </w:tcBorders>
            <w:shd w:val="clear" w:color="000000" w:fill="808080"/>
            <w:noWrap/>
            <w:vAlign w:val="bottom"/>
            <w:hideMark/>
          </w:tcPr>
          <w:p w:rsidR="004750FE" w:rsidRPr="0097306C" w:rsidRDefault="004750FE" w:rsidP="00EA048B">
            <w:pPr>
              <w:rPr>
                <w:rFonts w:ascii="Tahoma" w:hAnsi="Tahoma" w:cs="Tahoma"/>
                <w:sz w:val="20"/>
                <w:szCs w:val="20"/>
              </w:rPr>
            </w:pPr>
            <w:r w:rsidRPr="0097306C">
              <w:rPr>
                <w:rFonts w:ascii="Tahoma" w:hAnsi="Tahoma" w:cs="Tahoma"/>
                <w:sz w:val="20"/>
                <w:szCs w:val="20"/>
              </w:rPr>
              <w:t> </w:t>
            </w:r>
          </w:p>
        </w:tc>
      </w:tr>
    </w:tbl>
    <w:p w:rsidR="004750FE" w:rsidRPr="00115C00" w:rsidRDefault="004750FE" w:rsidP="004750FE">
      <w:pPr>
        <w:jc w:val="both"/>
        <w:rPr>
          <w:rFonts w:ascii="Arial" w:hAnsi="Arial" w:cs="Arial"/>
          <w:sz w:val="4"/>
          <w:szCs w:val="4"/>
        </w:rPr>
      </w:pPr>
    </w:p>
    <w:tbl>
      <w:tblPr>
        <w:tblW w:w="9450" w:type="dxa"/>
        <w:tblInd w:w="160" w:type="dxa"/>
        <w:tblCellMar>
          <w:left w:w="70" w:type="dxa"/>
          <w:right w:w="70" w:type="dxa"/>
        </w:tblCellMar>
        <w:tblLook w:val="04A0"/>
      </w:tblPr>
      <w:tblGrid>
        <w:gridCol w:w="1080"/>
        <w:gridCol w:w="4500"/>
        <w:gridCol w:w="1530"/>
        <w:gridCol w:w="1527"/>
        <w:gridCol w:w="813"/>
      </w:tblGrid>
      <w:tr w:rsidR="004750FE" w:rsidRPr="0097306C" w:rsidTr="00FA5147">
        <w:trPr>
          <w:trHeight w:val="38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0FE" w:rsidRPr="0097306C" w:rsidRDefault="004750FE" w:rsidP="004750FE">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lang w:eastAsia="sr-Latn-CS"/>
              </w:rPr>
            </w:pPr>
            <w:r w:rsidRPr="0097306C">
              <w:rPr>
                <w:rFonts w:ascii="Arial" w:hAnsi="Arial" w:cs="Arial"/>
                <w:b/>
                <w:bCs/>
                <w:color w:val="000000"/>
                <w:lang w:eastAsia="sr-Latn-CS"/>
              </w:rPr>
              <w:t>P R I M I C I</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lang w:eastAsia="sr-Latn-CS"/>
              </w:rPr>
            </w:pPr>
            <w:r w:rsidRPr="0097306C">
              <w:rPr>
                <w:rFonts w:ascii="Arial" w:hAnsi="Arial" w:cs="Arial"/>
                <w:b/>
                <w:bCs/>
                <w:color w:val="000000"/>
                <w:lang w:eastAsia="sr-Latn-CS"/>
              </w:rPr>
              <w:t>Plan budžeta za 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lang w:eastAsia="sr-Latn-CS"/>
              </w:rPr>
            </w:pPr>
            <w:r w:rsidRPr="0097306C">
              <w:rPr>
                <w:rFonts w:ascii="Arial" w:hAnsi="Arial" w:cs="Arial"/>
                <w:b/>
                <w:bCs/>
                <w:color w:val="000000"/>
                <w:lang w:eastAsia="sr-Latn-CS"/>
              </w:rPr>
              <w:t>Rebalans za 2021. g.</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lang w:eastAsia="sr-Latn-CS"/>
              </w:rPr>
            </w:pPr>
            <w:r w:rsidRPr="0097306C">
              <w:rPr>
                <w:rFonts w:ascii="Arial" w:hAnsi="Arial" w:cs="Arial"/>
                <w:b/>
                <w:bCs/>
                <w:color w:val="000000"/>
                <w:lang w:eastAsia="sr-Latn-CS"/>
              </w:rPr>
              <w:t>Index 4/3</w:t>
            </w:r>
          </w:p>
        </w:tc>
      </w:tr>
      <w:tr w:rsidR="004750FE" w:rsidRPr="0097306C" w:rsidTr="00FA5147">
        <w:trPr>
          <w:trHeight w:val="9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750FE" w:rsidRPr="0097306C" w:rsidRDefault="004750FE" w:rsidP="004750FE">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1</w:t>
            </w:r>
          </w:p>
        </w:tc>
        <w:tc>
          <w:tcPr>
            <w:tcW w:w="4500"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2</w:t>
            </w:r>
          </w:p>
        </w:tc>
        <w:tc>
          <w:tcPr>
            <w:tcW w:w="1530"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3</w:t>
            </w:r>
          </w:p>
        </w:tc>
        <w:tc>
          <w:tcPr>
            <w:tcW w:w="152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4750FE">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4</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4750FE">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5</w:t>
            </w:r>
          </w:p>
        </w:tc>
      </w:tr>
      <w:tr w:rsidR="004750FE" w:rsidRPr="0097306C" w:rsidTr="00FA5147">
        <w:trPr>
          <w:trHeight w:val="517"/>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714-6-2</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rPr>
                <w:rFonts w:ascii="Arial" w:hAnsi="Arial" w:cs="Arial"/>
                <w:b/>
                <w:bCs/>
                <w:color w:val="000000"/>
                <w:lang w:eastAsia="sr-Latn-CS"/>
              </w:rPr>
            </w:pPr>
            <w:r w:rsidRPr="0097306C">
              <w:rPr>
                <w:rFonts w:ascii="Arial" w:hAnsi="Arial" w:cs="Arial"/>
                <w:b/>
                <w:bCs/>
                <w:color w:val="000000"/>
                <w:lang w:eastAsia="sr-Latn-CS"/>
              </w:rPr>
              <w:t>Naknada za komunalno opremanje građevinskog zemljišta - komunalije</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3.600.000,00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2.500.000,00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69,44</w:t>
            </w:r>
          </w:p>
        </w:tc>
      </w:tr>
      <w:tr w:rsidR="004750FE" w:rsidRPr="0097306C" w:rsidTr="00FA5147">
        <w:trPr>
          <w:trHeight w:val="445"/>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714-6-3</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EA048B" w:rsidRDefault="004750FE" w:rsidP="004750FE">
            <w:pPr>
              <w:spacing w:after="0"/>
              <w:rPr>
                <w:rFonts w:ascii="Arial" w:hAnsi="Arial" w:cs="Arial"/>
                <w:b/>
                <w:bCs/>
                <w:color w:val="000000"/>
                <w:lang w:val="es-US" w:eastAsia="sr-Latn-CS"/>
              </w:rPr>
            </w:pPr>
            <w:r w:rsidRPr="00EA048B">
              <w:rPr>
                <w:rFonts w:ascii="Arial" w:hAnsi="Arial" w:cs="Arial"/>
                <w:b/>
                <w:bCs/>
                <w:color w:val="000000"/>
                <w:lang w:val="es-US" w:eastAsia="sr-Latn-CS"/>
              </w:rPr>
              <w:t>Naknada od urbane sanacije i drugih izvora prihoda u skladu sa zakonom</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300.000,00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33,33</w:t>
            </w:r>
          </w:p>
        </w:tc>
      </w:tr>
      <w:tr w:rsidR="004750FE" w:rsidRPr="0097306C" w:rsidTr="00FA5147">
        <w:trPr>
          <w:trHeight w:val="300"/>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714-6-3-1</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rPr>
                <w:rFonts w:ascii="Arial" w:hAnsi="Arial" w:cs="Arial"/>
                <w:b/>
                <w:bCs/>
                <w:color w:val="000000"/>
                <w:lang w:eastAsia="sr-Latn-CS"/>
              </w:rPr>
            </w:pPr>
            <w:r w:rsidRPr="0097306C">
              <w:rPr>
                <w:rFonts w:ascii="Arial" w:hAnsi="Arial" w:cs="Arial"/>
                <w:b/>
                <w:bCs/>
                <w:color w:val="000000"/>
                <w:lang w:eastAsia="sr-Latn-CS"/>
              </w:rPr>
              <w:t>Posebna naknada na investicije</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100.000,00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70.000,00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70,00</w:t>
            </w:r>
          </w:p>
        </w:tc>
      </w:tr>
      <w:tr w:rsidR="004750FE" w:rsidRPr="0097306C" w:rsidTr="00FA5147">
        <w:trPr>
          <w:trHeight w:val="427"/>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714-6-4</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rPr>
                <w:rFonts w:ascii="Arial" w:hAnsi="Arial" w:cs="Arial"/>
                <w:b/>
                <w:bCs/>
                <w:color w:val="000000"/>
                <w:lang w:eastAsia="sr-Latn-CS"/>
              </w:rPr>
            </w:pPr>
            <w:r w:rsidRPr="0097306C">
              <w:rPr>
                <w:rFonts w:ascii="Arial" w:hAnsi="Arial" w:cs="Arial"/>
                <w:b/>
                <w:bCs/>
                <w:color w:val="000000"/>
                <w:lang w:eastAsia="sr-Latn-CS"/>
              </w:rPr>
              <w:t xml:space="preserve">Naknada za komunalno opremanje i zakup građev. </w:t>
            </w:r>
            <w:proofErr w:type="gramStart"/>
            <w:r w:rsidRPr="0097306C">
              <w:rPr>
                <w:rFonts w:ascii="Arial" w:hAnsi="Arial" w:cs="Arial"/>
                <w:b/>
                <w:bCs/>
                <w:color w:val="000000"/>
                <w:lang w:eastAsia="sr-Latn-CS"/>
              </w:rPr>
              <w:t>zemljišta</w:t>
            </w:r>
            <w:proofErr w:type="gramEnd"/>
            <w:r w:rsidRPr="0097306C">
              <w:rPr>
                <w:rFonts w:ascii="Arial" w:hAnsi="Arial" w:cs="Arial"/>
                <w:b/>
                <w:bCs/>
                <w:color w:val="000000"/>
                <w:lang w:eastAsia="sr-Latn-CS"/>
              </w:rPr>
              <w:t xml:space="preserve"> - privr. objekti</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200.000,00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FA5147">
        <w:trPr>
          <w:trHeight w:val="300"/>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721-1</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FA5147" w:rsidRDefault="00FA5147" w:rsidP="004750FE">
            <w:pPr>
              <w:spacing w:after="0"/>
              <w:rPr>
                <w:rFonts w:ascii="Arial" w:hAnsi="Arial" w:cs="Arial"/>
                <w:b/>
                <w:bCs/>
                <w:color w:val="000000"/>
                <w:lang w:val="es-US" w:eastAsia="sr-Latn-CS"/>
              </w:rPr>
            </w:pPr>
            <w:r w:rsidRPr="00FA5147">
              <w:rPr>
                <w:rFonts w:ascii="Arial" w:hAnsi="Arial" w:cs="Arial"/>
                <w:b/>
                <w:bCs/>
                <w:color w:val="000000"/>
                <w:lang w:val="es-US"/>
              </w:rPr>
              <w:t>Prodaje nepokretnosti u korist budžeta opš</w:t>
            </w:r>
            <w:r>
              <w:rPr>
                <w:rFonts w:ascii="Arial" w:hAnsi="Arial" w:cs="Arial"/>
                <w:b/>
                <w:bCs/>
                <w:color w:val="000000"/>
                <w:lang w:val="es-US"/>
              </w:rPr>
              <w:t>tine</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2.300.000,00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1.500.000,00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65,22</w:t>
            </w:r>
          </w:p>
        </w:tc>
      </w:tr>
      <w:tr w:rsidR="004750FE" w:rsidRPr="0097306C" w:rsidTr="00FA5147">
        <w:trPr>
          <w:trHeight w:val="300"/>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732-1</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rPr>
                <w:rFonts w:ascii="Arial" w:hAnsi="Arial" w:cs="Arial"/>
                <w:b/>
                <w:bCs/>
                <w:color w:val="000000"/>
                <w:lang w:eastAsia="sr-Latn-CS"/>
              </w:rPr>
            </w:pPr>
            <w:r w:rsidRPr="0097306C">
              <w:rPr>
                <w:rFonts w:ascii="Arial" w:hAnsi="Arial" w:cs="Arial"/>
                <w:b/>
                <w:bCs/>
                <w:color w:val="000000"/>
                <w:lang w:eastAsia="sr-Latn-CS"/>
              </w:rPr>
              <w:t>Sredstva prenesena iz prethodne godine</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1.100.000,00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2.165.000,00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196,82</w:t>
            </w:r>
          </w:p>
        </w:tc>
      </w:tr>
      <w:tr w:rsidR="004750FE" w:rsidRPr="0097306C" w:rsidTr="00FA5147">
        <w:trPr>
          <w:trHeight w:val="300"/>
        </w:trPr>
        <w:tc>
          <w:tcPr>
            <w:tcW w:w="1080"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741-2</w:t>
            </w:r>
          </w:p>
        </w:tc>
        <w:tc>
          <w:tcPr>
            <w:tcW w:w="4500" w:type="dxa"/>
            <w:tcBorders>
              <w:top w:val="nil"/>
              <w:left w:val="nil"/>
              <w:bottom w:val="single" w:sz="4" w:space="0" w:color="auto"/>
              <w:right w:val="single" w:sz="4" w:space="0" w:color="auto"/>
            </w:tcBorders>
            <w:shd w:val="clear" w:color="000000" w:fill="DBE5F1"/>
            <w:vAlign w:val="center"/>
            <w:hideMark/>
          </w:tcPr>
          <w:p w:rsidR="004750FE" w:rsidRPr="00EA048B" w:rsidRDefault="004750FE" w:rsidP="004750FE">
            <w:pPr>
              <w:spacing w:after="0"/>
              <w:rPr>
                <w:rFonts w:ascii="Arial" w:hAnsi="Arial" w:cs="Arial"/>
                <w:b/>
                <w:bCs/>
                <w:color w:val="000000"/>
                <w:lang w:val="es-US" w:eastAsia="sr-Latn-CS"/>
              </w:rPr>
            </w:pPr>
            <w:r w:rsidRPr="00EA048B">
              <w:rPr>
                <w:rFonts w:ascii="Arial" w:hAnsi="Arial" w:cs="Arial"/>
                <w:b/>
                <w:bCs/>
                <w:color w:val="000000"/>
                <w:lang w:val="es-US" w:eastAsia="sr-Latn-CS"/>
              </w:rPr>
              <w:t>Kapitalne donacije u korist budžeta</w:t>
            </w:r>
          </w:p>
        </w:tc>
        <w:tc>
          <w:tcPr>
            <w:tcW w:w="1530"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152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FA5147">
        <w:trPr>
          <w:trHeight w:hRule="exact" w:val="340"/>
        </w:trPr>
        <w:tc>
          <w:tcPr>
            <w:tcW w:w="1080" w:type="dxa"/>
            <w:tcBorders>
              <w:top w:val="nil"/>
              <w:left w:val="single" w:sz="4" w:space="0" w:color="auto"/>
              <w:bottom w:val="single" w:sz="4" w:space="0" w:color="auto"/>
              <w:right w:val="single" w:sz="4" w:space="0" w:color="auto"/>
            </w:tcBorders>
            <w:shd w:val="clear" w:color="000000" w:fill="8DB4E3"/>
            <w:noWrap/>
            <w:vAlign w:val="center"/>
            <w:hideMark/>
          </w:tcPr>
          <w:p w:rsidR="004750FE" w:rsidRPr="0097306C" w:rsidRDefault="004750FE" w:rsidP="004750FE">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4500"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UKUPNO:</w:t>
            </w:r>
          </w:p>
        </w:tc>
        <w:tc>
          <w:tcPr>
            <w:tcW w:w="1530"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7.810.000,00</w:t>
            </w:r>
          </w:p>
        </w:tc>
        <w:tc>
          <w:tcPr>
            <w:tcW w:w="1527"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6.745.000,00</w:t>
            </w:r>
          </w:p>
        </w:tc>
        <w:tc>
          <w:tcPr>
            <w:tcW w:w="813" w:type="dxa"/>
            <w:tcBorders>
              <w:top w:val="nil"/>
              <w:left w:val="nil"/>
              <w:bottom w:val="single" w:sz="4" w:space="0" w:color="auto"/>
              <w:right w:val="single" w:sz="4" w:space="0" w:color="auto"/>
            </w:tcBorders>
            <w:shd w:val="clear" w:color="000000" w:fill="8DB4E3"/>
            <w:noWrap/>
            <w:vAlign w:val="center"/>
            <w:hideMark/>
          </w:tcPr>
          <w:p w:rsidR="004750FE" w:rsidRPr="0097306C" w:rsidRDefault="004750FE" w:rsidP="004750FE">
            <w:pPr>
              <w:spacing w:after="0"/>
              <w:jc w:val="right"/>
              <w:rPr>
                <w:rFonts w:ascii="Arial" w:hAnsi="Arial" w:cs="Arial"/>
                <w:b/>
                <w:bCs/>
                <w:color w:val="000000"/>
                <w:lang w:eastAsia="sr-Latn-CS"/>
              </w:rPr>
            </w:pPr>
            <w:r w:rsidRPr="0097306C">
              <w:rPr>
                <w:rFonts w:ascii="Arial" w:hAnsi="Arial" w:cs="Arial"/>
                <w:b/>
                <w:bCs/>
                <w:color w:val="000000"/>
                <w:lang w:eastAsia="sr-Latn-CS"/>
              </w:rPr>
              <w:t>86,36</w:t>
            </w:r>
          </w:p>
        </w:tc>
      </w:tr>
    </w:tbl>
    <w:p w:rsidR="004750FE" w:rsidRPr="0097306C" w:rsidRDefault="004750FE" w:rsidP="004750FE">
      <w:pPr>
        <w:tabs>
          <w:tab w:val="left" w:pos="4320"/>
        </w:tabs>
        <w:spacing w:after="0"/>
        <w:rPr>
          <w:rFonts w:ascii="Arial" w:hAnsi="Arial" w:cs="Arial"/>
        </w:rPr>
      </w:pPr>
      <w:r w:rsidRPr="0097306C">
        <w:rPr>
          <w:rFonts w:ascii="Arial" w:hAnsi="Arial" w:cs="Arial"/>
        </w:rPr>
        <w:tab/>
      </w:r>
      <w:r w:rsidRPr="0097306C">
        <w:rPr>
          <w:rFonts w:ascii="Arial" w:hAnsi="Arial" w:cs="Arial"/>
        </w:rPr>
        <w:tab/>
      </w:r>
      <w:r w:rsidRPr="0097306C">
        <w:rPr>
          <w:rFonts w:ascii="Arial" w:hAnsi="Arial" w:cs="Arial"/>
        </w:rPr>
        <w:tab/>
        <w:t xml:space="preserve">     </w:t>
      </w:r>
    </w:p>
    <w:p w:rsidR="004750FE" w:rsidRDefault="004750FE" w:rsidP="00115C00">
      <w:pPr>
        <w:spacing w:after="0"/>
        <w:jc w:val="both"/>
        <w:rPr>
          <w:rFonts w:ascii="Arial" w:hAnsi="Arial" w:cs="Arial"/>
          <w:sz w:val="24"/>
          <w:szCs w:val="24"/>
        </w:rPr>
      </w:pPr>
      <w:r w:rsidRPr="00115C00">
        <w:rPr>
          <w:rFonts w:ascii="Arial" w:hAnsi="Arial" w:cs="Arial"/>
          <w:sz w:val="24"/>
          <w:szCs w:val="24"/>
        </w:rPr>
        <w:t xml:space="preserve">Shodno Rebalansu, prihodi kapitalnog budžeta do kraja 2021. </w:t>
      </w:r>
      <w:proofErr w:type="gramStart"/>
      <w:r w:rsidRPr="00115C00">
        <w:rPr>
          <w:rFonts w:ascii="Arial" w:hAnsi="Arial" w:cs="Arial"/>
          <w:sz w:val="24"/>
          <w:szCs w:val="24"/>
        </w:rPr>
        <w:t>godine</w:t>
      </w:r>
      <w:proofErr w:type="gramEnd"/>
      <w:r w:rsidRPr="00115C00">
        <w:rPr>
          <w:rFonts w:ascii="Arial" w:hAnsi="Arial" w:cs="Arial"/>
          <w:sz w:val="24"/>
          <w:szCs w:val="24"/>
        </w:rPr>
        <w:t xml:space="preserve"> ostvariće se u iznosu od 6.745.000,00€, što je za 1.065.000,00€ manje od planiranog. </w:t>
      </w:r>
    </w:p>
    <w:p w:rsidR="00115C00" w:rsidRPr="00115C00" w:rsidRDefault="00115C00" w:rsidP="00115C00">
      <w:pPr>
        <w:spacing w:after="0"/>
        <w:jc w:val="both"/>
        <w:rPr>
          <w:rFonts w:ascii="Arial" w:hAnsi="Arial" w:cs="Arial"/>
          <w:sz w:val="8"/>
          <w:szCs w:val="8"/>
        </w:rPr>
      </w:pPr>
    </w:p>
    <w:p w:rsidR="004750FE" w:rsidRDefault="004750FE" w:rsidP="00115C00">
      <w:pPr>
        <w:spacing w:after="0"/>
        <w:jc w:val="both"/>
        <w:rPr>
          <w:rFonts w:ascii="Arial" w:hAnsi="Arial" w:cs="Arial"/>
          <w:sz w:val="24"/>
          <w:szCs w:val="24"/>
        </w:rPr>
      </w:pPr>
      <w:r w:rsidRPr="00115C00">
        <w:rPr>
          <w:rFonts w:ascii="Arial" w:hAnsi="Arial" w:cs="Arial"/>
          <w:sz w:val="24"/>
          <w:szCs w:val="24"/>
        </w:rPr>
        <w:t xml:space="preserve">Prihod po osnovu </w:t>
      </w:r>
      <w:r w:rsidRPr="00115C00">
        <w:rPr>
          <w:rFonts w:ascii="Arial" w:hAnsi="Arial" w:cs="Arial"/>
          <w:bCs/>
          <w:sz w:val="24"/>
          <w:szCs w:val="24"/>
        </w:rPr>
        <w:t>naknade za komunalno opremanje građevinskog zemljišta</w:t>
      </w:r>
      <w:r w:rsidRPr="00115C00">
        <w:rPr>
          <w:rFonts w:ascii="Arial" w:hAnsi="Arial" w:cs="Arial"/>
          <w:sz w:val="24"/>
          <w:szCs w:val="24"/>
        </w:rPr>
        <w:t xml:space="preserve"> biće niži za 30</w:t>
      </w:r>
      <w:proofErr w:type="gramStart"/>
      <w:r w:rsidRPr="00115C00">
        <w:rPr>
          <w:rFonts w:ascii="Arial" w:hAnsi="Arial" w:cs="Arial"/>
          <w:sz w:val="24"/>
          <w:szCs w:val="24"/>
        </w:rPr>
        <w:t>,56</w:t>
      </w:r>
      <w:proofErr w:type="gramEnd"/>
      <w:r w:rsidRPr="00115C00">
        <w:rPr>
          <w:rFonts w:ascii="Arial" w:hAnsi="Arial" w:cs="Arial"/>
          <w:sz w:val="24"/>
          <w:szCs w:val="24"/>
        </w:rPr>
        <w:t xml:space="preserve">%, odnosno za 1.100.000,00€ u odnosu na plan kapitalnog budžeta za 2021. </w:t>
      </w:r>
      <w:proofErr w:type="gramStart"/>
      <w:r w:rsidRPr="00115C00">
        <w:rPr>
          <w:rFonts w:ascii="Arial" w:hAnsi="Arial" w:cs="Arial"/>
          <w:sz w:val="24"/>
          <w:szCs w:val="24"/>
        </w:rPr>
        <w:t>godinu</w:t>
      </w:r>
      <w:proofErr w:type="gramEnd"/>
      <w:r w:rsidRPr="00115C00">
        <w:rPr>
          <w:rFonts w:ascii="Arial" w:hAnsi="Arial" w:cs="Arial"/>
          <w:sz w:val="24"/>
          <w:szCs w:val="24"/>
        </w:rPr>
        <w:t>. Takođe, prihod po osnovu prodaje građevinskog zemljišta biće manji za 800.000</w:t>
      </w:r>
      <w:proofErr w:type="gramStart"/>
      <w:r w:rsidRPr="00115C00">
        <w:rPr>
          <w:rFonts w:ascii="Arial" w:hAnsi="Arial" w:cs="Arial"/>
          <w:sz w:val="24"/>
          <w:szCs w:val="24"/>
        </w:rPr>
        <w:t>,00</w:t>
      </w:r>
      <w:proofErr w:type="gramEnd"/>
      <w:r w:rsidRPr="00115C00">
        <w:rPr>
          <w:rFonts w:ascii="Arial" w:hAnsi="Arial" w:cs="Arial"/>
          <w:sz w:val="24"/>
          <w:szCs w:val="24"/>
        </w:rPr>
        <w:t xml:space="preserve">€, ili za 34,78% od prvobitno planiranog. </w:t>
      </w:r>
    </w:p>
    <w:p w:rsidR="00115C00" w:rsidRPr="00115C00" w:rsidRDefault="00115C00" w:rsidP="00115C00">
      <w:pPr>
        <w:spacing w:after="0"/>
        <w:jc w:val="both"/>
        <w:rPr>
          <w:rFonts w:ascii="Arial" w:hAnsi="Arial" w:cs="Arial"/>
          <w:sz w:val="8"/>
          <w:szCs w:val="8"/>
        </w:rPr>
      </w:pPr>
    </w:p>
    <w:p w:rsidR="004750FE" w:rsidRDefault="004750FE" w:rsidP="00115C00">
      <w:pPr>
        <w:spacing w:after="0"/>
        <w:jc w:val="both"/>
        <w:rPr>
          <w:rFonts w:ascii="Arial" w:hAnsi="Arial" w:cs="Arial"/>
          <w:sz w:val="24"/>
          <w:szCs w:val="24"/>
        </w:rPr>
      </w:pPr>
      <w:r w:rsidRPr="00115C00">
        <w:rPr>
          <w:rFonts w:ascii="Arial" w:hAnsi="Arial" w:cs="Arial"/>
          <w:sz w:val="24"/>
          <w:szCs w:val="24"/>
        </w:rPr>
        <w:t xml:space="preserve">Osnovni razlog slabijeg ostvarenja prihoda po ovom osnovu ogleda se u nemogućnosti realizacije planirane prodaje urbanističkih parcela </w:t>
      </w:r>
      <w:proofErr w:type="gramStart"/>
      <w:r w:rsidRPr="00115C00">
        <w:rPr>
          <w:rFonts w:ascii="Arial" w:hAnsi="Arial" w:cs="Arial"/>
          <w:sz w:val="24"/>
          <w:szCs w:val="24"/>
        </w:rPr>
        <w:t>na</w:t>
      </w:r>
      <w:proofErr w:type="gramEnd"/>
      <w:r w:rsidRPr="00115C00">
        <w:rPr>
          <w:rFonts w:ascii="Arial" w:hAnsi="Arial" w:cs="Arial"/>
          <w:sz w:val="24"/>
          <w:szCs w:val="24"/>
        </w:rPr>
        <w:t xml:space="preserve"> prostoru DUP-a »Topolica IV« i ubiranja naknade za komunalno opremanje po osnovu izgradnje objekata u skladu sa ovim planskim dokumentom. Naime, Vlada Crne Gore je </w:t>
      </w:r>
      <w:proofErr w:type="gramStart"/>
      <w:r w:rsidRPr="00115C00">
        <w:rPr>
          <w:rFonts w:ascii="Arial" w:hAnsi="Arial" w:cs="Arial"/>
          <w:sz w:val="24"/>
          <w:szCs w:val="24"/>
        </w:rPr>
        <w:t>na</w:t>
      </w:r>
      <w:proofErr w:type="gramEnd"/>
      <w:r w:rsidRPr="00115C00">
        <w:rPr>
          <w:rFonts w:ascii="Arial" w:hAnsi="Arial" w:cs="Arial"/>
          <w:sz w:val="24"/>
          <w:szCs w:val="24"/>
        </w:rPr>
        <w:t xml:space="preserve"> sjednici održanoj 22. </w:t>
      </w:r>
      <w:proofErr w:type="gramStart"/>
      <w:r w:rsidRPr="00115C00">
        <w:rPr>
          <w:rFonts w:ascii="Arial" w:hAnsi="Arial" w:cs="Arial"/>
          <w:sz w:val="24"/>
          <w:szCs w:val="24"/>
        </w:rPr>
        <w:t>jula</w:t>
      </w:r>
      <w:proofErr w:type="gramEnd"/>
      <w:r w:rsidRPr="00115C00">
        <w:rPr>
          <w:rFonts w:ascii="Arial" w:hAnsi="Arial" w:cs="Arial"/>
          <w:sz w:val="24"/>
          <w:szCs w:val="24"/>
        </w:rPr>
        <w:t xml:space="preserve"> 2021. </w:t>
      </w:r>
      <w:proofErr w:type="gramStart"/>
      <w:r w:rsidRPr="00115C00">
        <w:rPr>
          <w:rFonts w:ascii="Arial" w:hAnsi="Arial" w:cs="Arial"/>
          <w:sz w:val="24"/>
          <w:szCs w:val="24"/>
        </w:rPr>
        <w:t>godine</w:t>
      </w:r>
      <w:proofErr w:type="gramEnd"/>
      <w:r w:rsidRPr="00115C00">
        <w:rPr>
          <w:rFonts w:ascii="Arial" w:hAnsi="Arial" w:cs="Arial"/>
          <w:sz w:val="24"/>
          <w:szCs w:val="24"/>
        </w:rPr>
        <w:t xml:space="preserve"> donijela Odluku o izmjeni i dopuni Odluke o izradi izmjena i dopuna detaljnog urbanističkog plana »Topolica IV« (,,Sl. list CGʺ, br. 91/21), kojom se zabranjuje građenje na prostoru Izmjena i dopuna predmetnog DUP-a, do donošenja Izmjena i dopuna, a najduže u trajanju od 12 mjeseci. Posljedično, ostvarenje posebne naknade na investicije očekuje se u iznosu od 70.000</w:t>
      </w:r>
      <w:proofErr w:type="gramStart"/>
      <w:r w:rsidRPr="00115C00">
        <w:rPr>
          <w:rFonts w:ascii="Arial" w:hAnsi="Arial" w:cs="Arial"/>
          <w:sz w:val="24"/>
          <w:szCs w:val="24"/>
        </w:rPr>
        <w:t>,00</w:t>
      </w:r>
      <w:proofErr w:type="gramEnd"/>
      <w:r w:rsidRPr="00115C00">
        <w:rPr>
          <w:rFonts w:ascii="Arial" w:hAnsi="Arial" w:cs="Arial"/>
          <w:sz w:val="24"/>
          <w:szCs w:val="24"/>
        </w:rPr>
        <w:t xml:space="preserve">€ ili 30% manje u odnosu na plan kapitalnog budžeta za 2021. </w:t>
      </w:r>
      <w:proofErr w:type="gramStart"/>
      <w:r w:rsidRPr="00115C00">
        <w:rPr>
          <w:rFonts w:ascii="Arial" w:hAnsi="Arial" w:cs="Arial"/>
          <w:sz w:val="24"/>
          <w:szCs w:val="24"/>
        </w:rPr>
        <w:t>godinu</w:t>
      </w:r>
      <w:proofErr w:type="gramEnd"/>
      <w:r w:rsidRPr="00115C00">
        <w:rPr>
          <w:rFonts w:ascii="Arial" w:hAnsi="Arial" w:cs="Arial"/>
          <w:sz w:val="24"/>
          <w:szCs w:val="24"/>
        </w:rPr>
        <w:t>.</w:t>
      </w:r>
    </w:p>
    <w:p w:rsidR="00115C00" w:rsidRPr="00115C00" w:rsidRDefault="00115C00" w:rsidP="00115C00">
      <w:pPr>
        <w:spacing w:after="0"/>
        <w:jc w:val="both"/>
        <w:rPr>
          <w:rFonts w:ascii="Arial" w:hAnsi="Arial" w:cs="Arial"/>
          <w:sz w:val="12"/>
          <w:szCs w:val="12"/>
        </w:rPr>
      </w:pPr>
    </w:p>
    <w:p w:rsidR="004750FE" w:rsidRDefault="004750FE" w:rsidP="00115C00">
      <w:pPr>
        <w:spacing w:after="0"/>
        <w:jc w:val="both"/>
        <w:rPr>
          <w:rFonts w:ascii="Arial" w:hAnsi="Arial" w:cs="Arial"/>
          <w:sz w:val="24"/>
          <w:szCs w:val="24"/>
        </w:rPr>
      </w:pPr>
      <w:proofErr w:type="gramStart"/>
      <w:r w:rsidRPr="00115C00">
        <w:rPr>
          <w:rFonts w:ascii="Arial" w:hAnsi="Arial" w:cs="Arial"/>
          <w:sz w:val="24"/>
          <w:szCs w:val="24"/>
        </w:rPr>
        <w:t>Budžetom Opštine Bar za 2021.</w:t>
      </w:r>
      <w:proofErr w:type="gramEnd"/>
      <w:r w:rsidRPr="00115C00">
        <w:rPr>
          <w:rFonts w:ascii="Arial" w:hAnsi="Arial" w:cs="Arial"/>
          <w:sz w:val="24"/>
          <w:szCs w:val="24"/>
        </w:rPr>
        <w:t xml:space="preserve"> </w:t>
      </w:r>
      <w:proofErr w:type="gramStart"/>
      <w:r w:rsidRPr="00115C00">
        <w:rPr>
          <w:rFonts w:ascii="Arial" w:hAnsi="Arial" w:cs="Arial"/>
          <w:sz w:val="24"/>
          <w:szCs w:val="24"/>
        </w:rPr>
        <w:t>godinu</w:t>
      </w:r>
      <w:proofErr w:type="gramEnd"/>
      <w:r w:rsidRPr="00115C00">
        <w:rPr>
          <w:rFonts w:ascii="Arial" w:hAnsi="Arial" w:cs="Arial"/>
          <w:sz w:val="24"/>
          <w:szCs w:val="24"/>
        </w:rPr>
        <w:t xml:space="preserve"> sredstva prenesena iz prethodne godine planirana su u iznosu od 1.100.000,00€, dok će ista rebalansom budžeta biti na nivou od 2.165.000,00€.</w:t>
      </w:r>
    </w:p>
    <w:p w:rsidR="00115C00" w:rsidRPr="00115C00" w:rsidRDefault="00115C00" w:rsidP="00115C00">
      <w:pPr>
        <w:spacing w:after="0"/>
        <w:jc w:val="both"/>
        <w:rPr>
          <w:rFonts w:ascii="Arial" w:hAnsi="Arial" w:cs="Arial"/>
          <w:sz w:val="8"/>
          <w:szCs w:val="8"/>
        </w:rPr>
      </w:pPr>
    </w:p>
    <w:p w:rsidR="004750FE" w:rsidRDefault="004750FE" w:rsidP="00115C00">
      <w:pPr>
        <w:autoSpaceDE w:val="0"/>
        <w:autoSpaceDN w:val="0"/>
        <w:adjustRightInd w:val="0"/>
        <w:spacing w:after="0"/>
        <w:jc w:val="both"/>
        <w:rPr>
          <w:rFonts w:ascii="Arial" w:hAnsi="Arial" w:cs="Arial"/>
          <w:sz w:val="24"/>
          <w:szCs w:val="24"/>
        </w:rPr>
      </w:pPr>
      <w:r w:rsidRPr="00115C00">
        <w:rPr>
          <w:rFonts w:ascii="Arial" w:hAnsi="Arial" w:cs="Arial"/>
          <w:sz w:val="24"/>
          <w:szCs w:val="24"/>
        </w:rPr>
        <w:t xml:space="preserve">Imajući u vidu započete aktivnosti </w:t>
      </w:r>
      <w:proofErr w:type="gramStart"/>
      <w:r w:rsidRPr="00115C00">
        <w:rPr>
          <w:rFonts w:ascii="Arial" w:hAnsi="Arial" w:cs="Arial"/>
          <w:sz w:val="24"/>
          <w:szCs w:val="24"/>
        </w:rPr>
        <w:t>na</w:t>
      </w:r>
      <w:proofErr w:type="gramEnd"/>
      <w:r w:rsidRPr="00115C00">
        <w:rPr>
          <w:rFonts w:ascii="Arial" w:hAnsi="Arial" w:cs="Arial"/>
          <w:sz w:val="24"/>
          <w:szCs w:val="24"/>
        </w:rPr>
        <w:t xml:space="preserve"> primjeni Odluke </w:t>
      </w:r>
      <w:r w:rsidRPr="00115C00">
        <w:rPr>
          <w:rFonts w:ascii="Arial" w:hAnsi="Arial" w:cs="Arial"/>
          <w:sz w:val="24"/>
          <w:szCs w:val="24"/>
          <w:lang w:eastAsia="sr-Latn-CS"/>
        </w:rPr>
        <w:t xml:space="preserve">o naknadi za urbanu sanaciju u Opštini Bar ("Sl. list Crne Gore", br. 94/21) koja je objavljena 03.09.2021. godine i koja je stupila na snagu  osmog dana od dana objavljivanja, </w:t>
      </w:r>
      <w:r w:rsidRPr="00115C00">
        <w:rPr>
          <w:rFonts w:ascii="Arial" w:hAnsi="Arial" w:cs="Arial"/>
          <w:sz w:val="24"/>
          <w:szCs w:val="24"/>
        </w:rPr>
        <w:t>ostvarenje naknade od urbane sanacije planirano je u iznosu od 100.000,00€, odnosno 66,67% manje u odnosu na prvobitni plan.</w:t>
      </w:r>
    </w:p>
    <w:p w:rsidR="004A465E" w:rsidRDefault="004A465E" w:rsidP="00115C00">
      <w:pPr>
        <w:autoSpaceDE w:val="0"/>
        <w:autoSpaceDN w:val="0"/>
        <w:adjustRightInd w:val="0"/>
        <w:spacing w:after="0"/>
        <w:jc w:val="both"/>
        <w:rPr>
          <w:rFonts w:ascii="Arial" w:hAnsi="Arial" w:cs="Arial"/>
          <w:sz w:val="24"/>
          <w:szCs w:val="24"/>
        </w:rPr>
      </w:pPr>
    </w:p>
    <w:p w:rsidR="004A465E" w:rsidRDefault="004A465E" w:rsidP="00115C00">
      <w:pPr>
        <w:autoSpaceDE w:val="0"/>
        <w:autoSpaceDN w:val="0"/>
        <w:adjustRightInd w:val="0"/>
        <w:spacing w:after="0"/>
        <w:jc w:val="both"/>
        <w:rPr>
          <w:rFonts w:ascii="Arial" w:hAnsi="Arial" w:cs="Arial"/>
          <w:sz w:val="24"/>
          <w:szCs w:val="24"/>
        </w:rPr>
      </w:pPr>
    </w:p>
    <w:p w:rsidR="004A465E" w:rsidRDefault="004A465E" w:rsidP="00115C00">
      <w:pPr>
        <w:autoSpaceDE w:val="0"/>
        <w:autoSpaceDN w:val="0"/>
        <w:adjustRightInd w:val="0"/>
        <w:spacing w:after="0"/>
        <w:jc w:val="both"/>
        <w:rPr>
          <w:rFonts w:ascii="Arial" w:hAnsi="Arial" w:cs="Arial"/>
          <w:sz w:val="24"/>
          <w:szCs w:val="24"/>
        </w:rPr>
      </w:pPr>
    </w:p>
    <w:p w:rsidR="004A465E" w:rsidRDefault="004A465E" w:rsidP="00115C00">
      <w:pPr>
        <w:autoSpaceDE w:val="0"/>
        <w:autoSpaceDN w:val="0"/>
        <w:adjustRightInd w:val="0"/>
        <w:spacing w:after="0"/>
        <w:jc w:val="both"/>
        <w:rPr>
          <w:rFonts w:ascii="Arial" w:hAnsi="Arial" w:cs="Arial"/>
          <w:sz w:val="24"/>
          <w:szCs w:val="24"/>
        </w:rPr>
      </w:pPr>
    </w:p>
    <w:p w:rsidR="00115C00" w:rsidRPr="00115C00" w:rsidRDefault="00115C00" w:rsidP="00115C00">
      <w:pPr>
        <w:autoSpaceDE w:val="0"/>
        <w:autoSpaceDN w:val="0"/>
        <w:adjustRightInd w:val="0"/>
        <w:spacing w:after="0"/>
        <w:jc w:val="both"/>
        <w:rPr>
          <w:rFonts w:ascii="Arial" w:hAnsi="Arial" w:cs="Arial"/>
          <w:sz w:val="8"/>
          <w:szCs w:val="8"/>
          <w:lang w:eastAsia="sr-Latn-CS"/>
        </w:rPr>
      </w:pPr>
    </w:p>
    <w:p w:rsidR="004750FE" w:rsidRPr="00115C00" w:rsidRDefault="004750FE" w:rsidP="00115C00">
      <w:pPr>
        <w:spacing w:after="0"/>
        <w:jc w:val="both"/>
        <w:rPr>
          <w:rFonts w:ascii="Arial" w:hAnsi="Arial" w:cs="Arial"/>
          <w:sz w:val="24"/>
          <w:szCs w:val="24"/>
        </w:rPr>
      </w:pPr>
      <w:r w:rsidRPr="00115C00">
        <w:rPr>
          <w:rFonts w:ascii="Arial" w:hAnsi="Arial" w:cs="Arial"/>
          <w:sz w:val="24"/>
          <w:szCs w:val="24"/>
        </w:rPr>
        <w:t xml:space="preserve">Ostali prihodi - naknada za komunalno opremanje za privremene objekte, zakup građevinskog zemljišta i kapitalne donacije u korist budžeta planirani su </w:t>
      </w:r>
      <w:proofErr w:type="gramStart"/>
      <w:r w:rsidRPr="00115C00">
        <w:rPr>
          <w:rFonts w:ascii="Arial" w:hAnsi="Arial" w:cs="Arial"/>
          <w:sz w:val="24"/>
          <w:szCs w:val="24"/>
        </w:rPr>
        <w:t>na</w:t>
      </w:r>
      <w:proofErr w:type="gramEnd"/>
      <w:r w:rsidRPr="00115C00">
        <w:rPr>
          <w:rFonts w:ascii="Arial" w:hAnsi="Arial" w:cs="Arial"/>
          <w:sz w:val="24"/>
          <w:szCs w:val="24"/>
        </w:rPr>
        <w:t xml:space="preserve"> nivou koji predviđen Budžetom Opštine Bar za 2021. </w:t>
      </w:r>
      <w:proofErr w:type="gramStart"/>
      <w:r w:rsidRPr="00115C00">
        <w:rPr>
          <w:rFonts w:ascii="Arial" w:hAnsi="Arial" w:cs="Arial"/>
          <w:sz w:val="24"/>
          <w:szCs w:val="24"/>
        </w:rPr>
        <w:t>godinu</w:t>
      </w:r>
      <w:proofErr w:type="gramEnd"/>
      <w:r w:rsidRPr="00115C00">
        <w:rPr>
          <w:rFonts w:ascii="Arial" w:hAnsi="Arial" w:cs="Arial"/>
          <w:sz w:val="24"/>
          <w:szCs w:val="24"/>
        </w:rPr>
        <w:t xml:space="preserve">. </w:t>
      </w:r>
      <w:proofErr w:type="gramStart"/>
      <w:r w:rsidRPr="00115C00">
        <w:rPr>
          <w:rFonts w:ascii="Arial" w:hAnsi="Arial" w:cs="Arial"/>
          <w:sz w:val="24"/>
          <w:szCs w:val="24"/>
        </w:rPr>
        <w:t>Nedostajuća sredstva za pokrivanje kapitalnih izdataka biće obezbjeđena iz tekućih prihoda Budžeta Opštine Bar.</w:t>
      </w:r>
      <w:proofErr w:type="gramEnd"/>
    </w:p>
    <w:p w:rsidR="004750FE" w:rsidRPr="0097306C" w:rsidRDefault="004750FE" w:rsidP="00115C00">
      <w:pPr>
        <w:spacing w:after="0"/>
        <w:jc w:val="both"/>
        <w:rPr>
          <w:rFonts w:ascii="Arial" w:hAnsi="Arial" w:cs="Arial"/>
        </w:rPr>
      </w:pPr>
    </w:p>
    <w:tbl>
      <w:tblPr>
        <w:tblW w:w="11669" w:type="dxa"/>
        <w:jc w:val="center"/>
        <w:tblInd w:w="108" w:type="dxa"/>
        <w:tblLook w:val="04A0"/>
      </w:tblPr>
      <w:tblGrid>
        <w:gridCol w:w="279"/>
        <w:gridCol w:w="2152"/>
        <w:gridCol w:w="1958"/>
        <w:gridCol w:w="1807"/>
        <w:gridCol w:w="344"/>
        <w:gridCol w:w="4325"/>
        <w:gridCol w:w="271"/>
        <w:gridCol w:w="270"/>
        <w:gridCol w:w="279"/>
      </w:tblGrid>
      <w:tr w:rsidR="004750FE" w:rsidRPr="0097306C" w:rsidTr="003E4EF7">
        <w:trPr>
          <w:trHeight w:val="445"/>
          <w:jc w:val="center"/>
        </w:trPr>
        <w:tc>
          <w:tcPr>
            <w:tcW w:w="271" w:type="dxa"/>
            <w:tcBorders>
              <w:top w:val="nil"/>
              <w:left w:val="nil"/>
              <w:bottom w:val="nil"/>
              <w:right w:val="nil"/>
            </w:tcBorders>
            <w:shd w:val="clear" w:color="000000" w:fill="808080"/>
            <w:noWrap/>
            <w:vAlign w:val="bottom"/>
            <w:hideMark/>
          </w:tcPr>
          <w:p w:rsidR="004750FE" w:rsidRPr="0097306C" w:rsidRDefault="004750FE" w:rsidP="00EA048B">
            <w:pPr>
              <w:rPr>
                <w:rFonts w:ascii="Tahoma" w:hAnsi="Tahoma" w:cs="Tahoma"/>
                <w:sz w:val="20"/>
                <w:szCs w:val="20"/>
              </w:rPr>
            </w:pPr>
            <w:r w:rsidRPr="0097306C">
              <w:rPr>
                <w:rFonts w:ascii="Tahoma" w:hAnsi="Tahoma" w:cs="Tahoma"/>
                <w:sz w:val="20"/>
                <w:szCs w:val="20"/>
              </w:rPr>
              <w:t> </w:t>
            </w:r>
          </w:p>
        </w:tc>
        <w:tc>
          <w:tcPr>
            <w:tcW w:w="11126" w:type="dxa"/>
            <w:gridSpan w:val="7"/>
            <w:tcBorders>
              <w:top w:val="nil"/>
              <w:left w:val="nil"/>
              <w:bottom w:val="nil"/>
              <w:right w:val="nil"/>
            </w:tcBorders>
            <w:shd w:val="clear" w:color="000000" w:fill="808080"/>
            <w:noWrap/>
            <w:vAlign w:val="center"/>
            <w:hideMark/>
          </w:tcPr>
          <w:p w:rsidR="004750FE" w:rsidRPr="0097306C" w:rsidRDefault="004750FE" w:rsidP="00EA048B">
            <w:pPr>
              <w:rPr>
                <w:rFonts w:ascii="Verdana" w:hAnsi="Verdana" w:cs="Arial"/>
                <w:b/>
                <w:bCs/>
                <w:color w:val="FFFFFF"/>
                <w:sz w:val="36"/>
                <w:szCs w:val="36"/>
              </w:rPr>
            </w:pPr>
            <w:r w:rsidRPr="0097306C">
              <w:rPr>
                <w:rFonts w:ascii="Verdana" w:hAnsi="Verdana" w:cs="Arial"/>
                <w:b/>
                <w:bCs/>
                <w:color w:val="FFFFFF"/>
                <w:sz w:val="36"/>
                <w:szCs w:val="36"/>
              </w:rPr>
              <w:t>Izdaci kapitalnog budžeta</w:t>
            </w:r>
          </w:p>
        </w:tc>
        <w:tc>
          <w:tcPr>
            <w:tcW w:w="271" w:type="dxa"/>
            <w:tcBorders>
              <w:top w:val="nil"/>
              <w:left w:val="nil"/>
              <w:bottom w:val="nil"/>
              <w:right w:val="nil"/>
            </w:tcBorders>
            <w:shd w:val="clear" w:color="000000" w:fill="808080"/>
            <w:noWrap/>
            <w:vAlign w:val="bottom"/>
            <w:hideMark/>
          </w:tcPr>
          <w:p w:rsidR="004750FE" w:rsidRPr="0097306C" w:rsidRDefault="004750FE" w:rsidP="00EA048B">
            <w:pPr>
              <w:rPr>
                <w:rFonts w:ascii="Tahoma" w:hAnsi="Tahoma" w:cs="Tahoma"/>
                <w:sz w:val="20"/>
                <w:szCs w:val="20"/>
              </w:rPr>
            </w:pPr>
            <w:r w:rsidRPr="0097306C">
              <w:rPr>
                <w:rFonts w:ascii="Tahoma" w:hAnsi="Tahoma" w:cs="Tahoma"/>
                <w:sz w:val="20"/>
                <w:szCs w:val="20"/>
              </w:rPr>
              <w:t> </w:t>
            </w:r>
          </w:p>
        </w:tc>
      </w:tr>
      <w:tr w:rsidR="004750FE" w:rsidRPr="0097306C" w:rsidTr="003E4EF7">
        <w:trPr>
          <w:trHeight w:val="129"/>
          <w:jc w:val="center"/>
        </w:trPr>
        <w:tc>
          <w:tcPr>
            <w:tcW w:w="271"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sz w:val="20"/>
                <w:szCs w:val="20"/>
              </w:rPr>
            </w:pPr>
          </w:p>
        </w:tc>
        <w:tc>
          <w:tcPr>
            <w:tcW w:w="2152" w:type="dxa"/>
            <w:tcBorders>
              <w:top w:val="nil"/>
              <w:left w:val="nil"/>
              <w:bottom w:val="nil"/>
              <w:right w:val="nil"/>
            </w:tcBorders>
            <w:shd w:val="clear" w:color="auto" w:fill="auto"/>
            <w:noWrap/>
            <w:vAlign w:val="center"/>
            <w:hideMark/>
          </w:tcPr>
          <w:p w:rsidR="004750FE" w:rsidRPr="0097306C" w:rsidRDefault="004750FE" w:rsidP="00EA048B">
            <w:pPr>
              <w:rPr>
                <w:rFonts w:ascii="Verdana" w:hAnsi="Verdana" w:cs="Arial"/>
                <w:color w:val="7795CB"/>
                <w:sz w:val="32"/>
                <w:szCs w:val="32"/>
              </w:rPr>
            </w:pPr>
          </w:p>
        </w:tc>
        <w:tc>
          <w:tcPr>
            <w:tcW w:w="1958"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sz w:val="20"/>
                <w:szCs w:val="20"/>
              </w:rPr>
            </w:pPr>
          </w:p>
        </w:tc>
        <w:tc>
          <w:tcPr>
            <w:tcW w:w="1807"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sz w:val="20"/>
                <w:szCs w:val="20"/>
              </w:rPr>
            </w:pPr>
          </w:p>
        </w:tc>
        <w:tc>
          <w:tcPr>
            <w:tcW w:w="344"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b/>
                <w:bCs/>
              </w:rPr>
            </w:pPr>
          </w:p>
        </w:tc>
        <w:tc>
          <w:tcPr>
            <w:tcW w:w="4325"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sz w:val="20"/>
                <w:szCs w:val="20"/>
              </w:rPr>
            </w:pPr>
          </w:p>
        </w:tc>
        <w:tc>
          <w:tcPr>
            <w:tcW w:w="271"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sz w:val="20"/>
                <w:szCs w:val="20"/>
              </w:rPr>
            </w:pPr>
          </w:p>
        </w:tc>
        <w:tc>
          <w:tcPr>
            <w:tcW w:w="270"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b/>
                <w:bCs/>
              </w:rPr>
            </w:pPr>
          </w:p>
        </w:tc>
        <w:tc>
          <w:tcPr>
            <w:tcW w:w="271" w:type="dxa"/>
            <w:tcBorders>
              <w:top w:val="nil"/>
              <w:left w:val="nil"/>
              <w:bottom w:val="nil"/>
              <w:right w:val="nil"/>
            </w:tcBorders>
            <w:shd w:val="clear" w:color="auto" w:fill="auto"/>
            <w:noWrap/>
            <w:vAlign w:val="bottom"/>
            <w:hideMark/>
          </w:tcPr>
          <w:p w:rsidR="004750FE" w:rsidRPr="0097306C" w:rsidRDefault="004750FE" w:rsidP="00EA048B">
            <w:pPr>
              <w:rPr>
                <w:rFonts w:ascii="Tahoma" w:hAnsi="Tahoma" w:cs="Tahoma"/>
                <w:sz w:val="20"/>
                <w:szCs w:val="20"/>
              </w:rPr>
            </w:pPr>
          </w:p>
        </w:tc>
      </w:tr>
    </w:tbl>
    <w:p w:rsidR="004750FE" w:rsidRPr="0097306C" w:rsidRDefault="004750FE" w:rsidP="004750FE">
      <w:pPr>
        <w:jc w:val="center"/>
        <w:rPr>
          <w:rFonts w:ascii="Arial" w:hAnsi="Arial" w:cs="Arial"/>
          <w:b/>
          <w:sz w:val="16"/>
          <w:szCs w:val="16"/>
        </w:rPr>
      </w:pPr>
    </w:p>
    <w:tbl>
      <w:tblPr>
        <w:tblW w:w="9655" w:type="dxa"/>
        <w:tblInd w:w="55" w:type="dxa"/>
        <w:tblCellMar>
          <w:left w:w="70" w:type="dxa"/>
          <w:right w:w="70" w:type="dxa"/>
        </w:tblCellMar>
        <w:tblLook w:val="04A0"/>
      </w:tblPr>
      <w:tblGrid>
        <w:gridCol w:w="920"/>
        <w:gridCol w:w="4765"/>
        <w:gridCol w:w="1698"/>
        <w:gridCol w:w="1459"/>
        <w:gridCol w:w="813"/>
      </w:tblGrid>
      <w:tr w:rsidR="004750FE" w:rsidRPr="0097306C" w:rsidTr="00EA048B">
        <w:trPr>
          <w:trHeight w:val="6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4765"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I Z D A C I</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Plan budžeta za 2021.</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Rebalans za 2021. g.</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Index 4/3</w:t>
            </w:r>
          </w:p>
        </w:tc>
      </w:tr>
      <w:tr w:rsidR="004750FE" w:rsidRPr="0097306C" w:rsidTr="00EA048B">
        <w:trPr>
          <w:trHeight w:val="15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1</w:t>
            </w:r>
          </w:p>
        </w:tc>
        <w:tc>
          <w:tcPr>
            <w:tcW w:w="4765"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2</w:t>
            </w:r>
          </w:p>
        </w:tc>
        <w:tc>
          <w:tcPr>
            <w:tcW w:w="1698"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3</w:t>
            </w:r>
          </w:p>
        </w:tc>
        <w:tc>
          <w:tcPr>
            <w:tcW w:w="145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4</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5</w:t>
            </w:r>
          </w:p>
        </w:tc>
      </w:tr>
      <w:tr w:rsidR="004750FE" w:rsidRPr="0097306C" w:rsidTr="00EA048B">
        <w:trPr>
          <w:trHeight w:val="435"/>
        </w:trPr>
        <w:tc>
          <w:tcPr>
            <w:tcW w:w="920" w:type="dxa"/>
            <w:tcBorders>
              <w:top w:val="nil"/>
              <w:left w:val="single" w:sz="4" w:space="0" w:color="auto"/>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4765"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KAPITALNI BUDŽET</w:t>
            </w:r>
          </w:p>
        </w:tc>
        <w:tc>
          <w:tcPr>
            <w:tcW w:w="1698"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8.110.000,00</w:t>
            </w:r>
          </w:p>
        </w:tc>
        <w:tc>
          <w:tcPr>
            <w:tcW w:w="1459"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9.082.000,00</w:t>
            </w:r>
          </w:p>
        </w:tc>
        <w:tc>
          <w:tcPr>
            <w:tcW w:w="813" w:type="dxa"/>
            <w:tcBorders>
              <w:top w:val="nil"/>
              <w:left w:val="nil"/>
              <w:bottom w:val="single" w:sz="4" w:space="0" w:color="auto"/>
              <w:right w:val="single" w:sz="4" w:space="0" w:color="auto"/>
            </w:tcBorders>
            <w:shd w:val="clear" w:color="000000" w:fill="95B3D7"/>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111,99</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w:t>
            </w:r>
          </w:p>
        </w:tc>
        <w:tc>
          <w:tcPr>
            <w:tcW w:w="4765"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xml:space="preserve">KAPITALNI IZDACI </w:t>
            </w:r>
          </w:p>
        </w:tc>
        <w:tc>
          <w:tcPr>
            <w:tcW w:w="1698"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7.810.000,00</w:t>
            </w:r>
          </w:p>
        </w:tc>
        <w:tc>
          <w:tcPr>
            <w:tcW w:w="1459"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8.272.000,00</w:t>
            </w:r>
          </w:p>
        </w:tc>
        <w:tc>
          <w:tcPr>
            <w:tcW w:w="813" w:type="dxa"/>
            <w:tcBorders>
              <w:top w:val="nil"/>
              <w:left w:val="nil"/>
              <w:bottom w:val="single" w:sz="4" w:space="0" w:color="auto"/>
              <w:right w:val="single" w:sz="4" w:space="0" w:color="auto"/>
            </w:tcBorders>
            <w:shd w:val="clear" w:color="000000" w:fill="95B3D7"/>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105,92</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w:t>
            </w:r>
          </w:p>
        </w:tc>
        <w:tc>
          <w:tcPr>
            <w:tcW w:w="4765"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lokalnu infrastrukturu</w:t>
            </w:r>
          </w:p>
        </w:tc>
        <w:tc>
          <w:tcPr>
            <w:tcW w:w="1698"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4.650.000,00</w:t>
            </w:r>
          </w:p>
        </w:tc>
        <w:tc>
          <w:tcPr>
            <w:tcW w:w="145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4.300.000,00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92,47</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441-3</w:t>
            </w:r>
          </w:p>
        </w:tc>
        <w:tc>
          <w:tcPr>
            <w:tcW w:w="4765"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građevinske objekte</w:t>
            </w:r>
          </w:p>
        </w:tc>
        <w:tc>
          <w:tcPr>
            <w:tcW w:w="1698"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750.000,00</w:t>
            </w:r>
          </w:p>
        </w:tc>
        <w:tc>
          <w:tcPr>
            <w:tcW w:w="145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1.210.000,00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161,33</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441-4</w:t>
            </w:r>
          </w:p>
        </w:tc>
        <w:tc>
          <w:tcPr>
            <w:tcW w:w="4765"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uređenje zemljišta</w:t>
            </w:r>
          </w:p>
        </w:tc>
        <w:tc>
          <w:tcPr>
            <w:tcW w:w="1698"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1.400.000,00</w:t>
            </w:r>
          </w:p>
        </w:tc>
        <w:tc>
          <w:tcPr>
            <w:tcW w:w="145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1.400.000,00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441-5</w:t>
            </w:r>
          </w:p>
        </w:tc>
        <w:tc>
          <w:tcPr>
            <w:tcW w:w="4765"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opremu</w:t>
            </w:r>
          </w:p>
        </w:tc>
        <w:tc>
          <w:tcPr>
            <w:tcW w:w="1698"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200.000,00</w:t>
            </w:r>
          </w:p>
        </w:tc>
        <w:tc>
          <w:tcPr>
            <w:tcW w:w="145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352.000,00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176,00</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441-6</w:t>
            </w:r>
          </w:p>
        </w:tc>
        <w:tc>
          <w:tcPr>
            <w:tcW w:w="4765"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Investiciono održavanje</w:t>
            </w:r>
          </w:p>
        </w:tc>
        <w:tc>
          <w:tcPr>
            <w:tcW w:w="1698"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600.000,00</w:t>
            </w:r>
          </w:p>
        </w:tc>
        <w:tc>
          <w:tcPr>
            <w:tcW w:w="145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133,33</w:t>
            </w:r>
          </w:p>
        </w:tc>
      </w:tr>
      <w:tr w:rsidR="004750FE" w:rsidRPr="0097306C" w:rsidTr="00EA048B">
        <w:trPr>
          <w:trHeight w:val="427"/>
        </w:trPr>
        <w:tc>
          <w:tcPr>
            <w:tcW w:w="920"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441-9</w:t>
            </w:r>
          </w:p>
        </w:tc>
        <w:tc>
          <w:tcPr>
            <w:tcW w:w="4765" w:type="dxa"/>
            <w:tcBorders>
              <w:top w:val="nil"/>
              <w:left w:val="nil"/>
              <w:bottom w:val="single" w:sz="4" w:space="0" w:color="auto"/>
              <w:right w:val="single" w:sz="4" w:space="0" w:color="auto"/>
            </w:tcBorders>
            <w:shd w:val="clear" w:color="000000" w:fill="DBE5F1"/>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Ostali kapitalni izdaci - troškovi finansiranja IPA i EU projekata</w:t>
            </w:r>
          </w:p>
        </w:tc>
        <w:tc>
          <w:tcPr>
            <w:tcW w:w="1698"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145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trPr>
        <w:tc>
          <w:tcPr>
            <w:tcW w:w="920" w:type="dxa"/>
            <w:tcBorders>
              <w:top w:val="nil"/>
              <w:left w:val="single" w:sz="4" w:space="0" w:color="auto"/>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461</w:t>
            </w:r>
          </w:p>
        </w:tc>
        <w:tc>
          <w:tcPr>
            <w:tcW w:w="4765"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Otplata duga</w:t>
            </w:r>
          </w:p>
        </w:tc>
        <w:tc>
          <w:tcPr>
            <w:tcW w:w="1698"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300.000,00</w:t>
            </w:r>
          </w:p>
        </w:tc>
        <w:tc>
          <w:tcPr>
            <w:tcW w:w="1459"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810.000,00</w:t>
            </w:r>
          </w:p>
        </w:tc>
        <w:tc>
          <w:tcPr>
            <w:tcW w:w="813" w:type="dxa"/>
            <w:tcBorders>
              <w:top w:val="nil"/>
              <w:left w:val="nil"/>
              <w:bottom w:val="single" w:sz="4" w:space="0" w:color="auto"/>
              <w:right w:val="single" w:sz="4" w:space="0" w:color="auto"/>
            </w:tcBorders>
            <w:shd w:val="clear" w:color="000000" w:fill="8DB4E3"/>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270,00</w:t>
            </w:r>
          </w:p>
        </w:tc>
      </w:tr>
    </w:tbl>
    <w:p w:rsidR="004750FE" w:rsidRPr="0097306C" w:rsidRDefault="004750FE" w:rsidP="004750FE">
      <w:pPr>
        <w:jc w:val="both"/>
        <w:rPr>
          <w:rFonts w:ascii="Arial" w:hAnsi="Arial" w:cs="Arial"/>
          <w:sz w:val="12"/>
          <w:szCs w:val="12"/>
        </w:rPr>
      </w:pPr>
    </w:p>
    <w:p w:rsidR="004750FE" w:rsidRPr="0097306C" w:rsidRDefault="004750FE" w:rsidP="004750FE">
      <w:pPr>
        <w:jc w:val="both"/>
        <w:rPr>
          <w:rFonts w:ascii="Arial" w:hAnsi="Arial" w:cs="Arial"/>
          <w:sz w:val="8"/>
          <w:szCs w:val="8"/>
        </w:rPr>
      </w:pPr>
    </w:p>
    <w:p w:rsidR="004750FE" w:rsidRPr="00115C00" w:rsidRDefault="004750FE" w:rsidP="003E4EF7">
      <w:pPr>
        <w:jc w:val="both"/>
        <w:rPr>
          <w:rFonts w:ascii="Arial" w:hAnsi="Arial" w:cs="Arial"/>
          <w:sz w:val="24"/>
          <w:szCs w:val="24"/>
        </w:rPr>
      </w:pPr>
      <w:r w:rsidRPr="00115C00">
        <w:rPr>
          <w:rFonts w:ascii="Arial" w:hAnsi="Arial" w:cs="Arial"/>
          <w:sz w:val="24"/>
          <w:szCs w:val="24"/>
        </w:rPr>
        <w:t xml:space="preserve">Ukupni izdaci kapitalnog budžeta po Rebalansu utvrđeni su </w:t>
      </w:r>
      <w:proofErr w:type="gramStart"/>
      <w:r w:rsidRPr="00115C00">
        <w:rPr>
          <w:rFonts w:ascii="Arial" w:hAnsi="Arial" w:cs="Arial"/>
          <w:sz w:val="24"/>
          <w:szCs w:val="24"/>
        </w:rPr>
        <w:t>na</w:t>
      </w:r>
      <w:proofErr w:type="gramEnd"/>
      <w:r w:rsidRPr="00115C00">
        <w:rPr>
          <w:rFonts w:ascii="Arial" w:hAnsi="Arial" w:cs="Arial"/>
          <w:sz w:val="24"/>
          <w:szCs w:val="24"/>
        </w:rPr>
        <w:t xml:space="preserve"> iznos od 9.082.000 € i veći su za 12% od sredstava planiranih budžetom za 2021. </w:t>
      </w:r>
      <w:proofErr w:type="gramStart"/>
      <w:r w:rsidRPr="00115C00">
        <w:rPr>
          <w:rFonts w:ascii="Arial" w:hAnsi="Arial" w:cs="Arial"/>
          <w:sz w:val="24"/>
          <w:szCs w:val="24"/>
        </w:rPr>
        <w:t>godinu</w:t>
      </w:r>
      <w:proofErr w:type="gramEnd"/>
      <w:r w:rsidRPr="00115C00">
        <w:rPr>
          <w:rFonts w:ascii="Arial" w:hAnsi="Arial" w:cs="Arial"/>
          <w:sz w:val="24"/>
          <w:szCs w:val="24"/>
        </w:rPr>
        <w:t>.</w:t>
      </w:r>
    </w:p>
    <w:p w:rsidR="004750FE" w:rsidRPr="00115C00" w:rsidRDefault="004750FE" w:rsidP="004750FE">
      <w:pPr>
        <w:jc w:val="both"/>
        <w:rPr>
          <w:rFonts w:ascii="Arial" w:hAnsi="Arial" w:cs="Arial"/>
          <w:sz w:val="24"/>
          <w:szCs w:val="24"/>
        </w:rPr>
      </w:pPr>
      <w:r w:rsidRPr="00115C00">
        <w:rPr>
          <w:rFonts w:ascii="Arial" w:hAnsi="Arial" w:cs="Arial"/>
          <w:sz w:val="24"/>
          <w:szCs w:val="24"/>
        </w:rPr>
        <w:t>Izdaci za lokalnu infrastrukturu planirani su na nešto nižem nivou i iznose 4.300.000 €, što predstavlja umajenje od 7</w:t>
      </w:r>
      <w:proofErr w:type="gramStart"/>
      <w:r w:rsidRPr="00115C00">
        <w:rPr>
          <w:rFonts w:ascii="Arial" w:hAnsi="Arial" w:cs="Arial"/>
          <w:sz w:val="24"/>
          <w:szCs w:val="24"/>
        </w:rPr>
        <w:t>,53</w:t>
      </w:r>
      <w:proofErr w:type="gramEnd"/>
      <w:r w:rsidRPr="00115C00">
        <w:rPr>
          <w:rFonts w:ascii="Arial" w:hAnsi="Arial" w:cs="Arial"/>
          <w:sz w:val="24"/>
          <w:szCs w:val="24"/>
        </w:rPr>
        <w:t xml:space="preserve">%. </w:t>
      </w:r>
    </w:p>
    <w:p w:rsidR="004750FE" w:rsidRPr="00115C00" w:rsidRDefault="004750FE" w:rsidP="004750FE">
      <w:pPr>
        <w:jc w:val="both"/>
        <w:rPr>
          <w:rFonts w:ascii="Arial" w:hAnsi="Arial" w:cs="Arial"/>
          <w:sz w:val="24"/>
          <w:szCs w:val="24"/>
          <w:lang w:val="es-US"/>
        </w:rPr>
      </w:pPr>
      <w:r w:rsidRPr="00115C00">
        <w:rPr>
          <w:rFonts w:ascii="Arial" w:hAnsi="Arial" w:cs="Arial"/>
          <w:sz w:val="24"/>
          <w:szCs w:val="24"/>
          <w:lang w:val="es-US"/>
        </w:rPr>
        <w:t>Izdaci za građevinske objekte planirani su na iznos od 1.210.000,00€, odnosno uvećani su za 61,33%. Veći iznos sredstava po ovom osnovu planiran je iz razloga što revidovani projekat objekta azila za napuštene životinje predviđa značajno veću vrijednost izgradnje ovog objekta i pripadajuće infrastrukture.</w:t>
      </w:r>
    </w:p>
    <w:p w:rsidR="004750FE" w:rsidRPr="00CE6689" w:rsidRDefault="004750FE" w:rsidP="004750FE">
      <w:pPr>
        <w:jc w:val="both"/>
        <w:rPr>
          <w:rFonts w:ascii="Arial" w:hAnsi="Arial" w:cs="Arial"/>
          <w:sz w:val="24"/>
          <w:szCs w:val="24"/>
          <w:lang w:val="es-US"/>
        </w:rPr>
      </w:pPr>
      <w:r w:rsidRPr="00CE6689">
        <w:rPr>
          <w:rFonts w:ascii="Arial" w:hAnsi="Arial" w:cs="Arial"/>
          <w:sz w:val="24"/>
          <w:szCs w:val="24"/>
          <w:lang w:val="es-US"/>
        </w:rPr>
        <w:t>U cilju stvaranja boljih uslova za rad Službe zaštite i spašavanja planirana je nabavka odgovarjućeg vatrogasnog vozila, tako da su i izdaci za opremu uvećani 76% i iznose 352.000 €.</w:t>
      </w:r>
    </w:p>
    <w:p w:rsidR="004750FE" w:rsidRPr="00CE6689" w:rsidRDefault="004750FE" w:rsidP="004750FE">
      <w:pPr>
        <w:jc w:val="both"/>
        <w:rPr>
          <w:rFonts w:ascii="Arial" w:hAnsi="Arial" w:cs="Arial"/>
          <w:sz w:val="24"/>
          <w:szCs w:val="24"/>
          <w:lang w:val="es-US"/>
        </w:rPr>
      </w:pPr>
      <w:r w:rsidRPr="00CE6689">
        <w:rPr>
          <w:rFonts w:ascii="Arial" w:hAnsi="Arial" w:cs="Arial"/>
          <w:sz w:val="24"/>
          <w:szCs w:val="24"/>
          <w:lang w:val="es-US"/>
        </w:rPr>
        <w:t xml:space="preserve">Takođe, izdaci za investiciono održavanje lokalne infrastrukture uvećani su za 200.000 € u odnosu na plan za 2021. </w:t>
      </w:r>
      <w:proofErr w:type="gramStart"/>
      <w:r w:rsidRPr="00CE6689">
        <w:rPr>
          <w:rFonts w:ascii="Arial" w:hAnsi="Arial" w:cs="Arial"/>
          <w:sz w:val="24"/>
          <w:szCs w:val="24"/>
          <w:lang w:val="es-US"/>
        </w:rPr>
        <w:t>godinu</w:t>
      </w:r>
      <w:proofErr w:type="gramEnd"/>
      <w:r w:rsidRPr="00CE6689">
        <w:rPr>
          <w:rFonts w:ascii="Arial" w:hAnsi="Arial" w:cs="Arial"/>
          <w:sz w:val="24"/>
          <w:szCs w:val="24"/>
          <w:lang w:val="es-US"/>
        </w:rPr>
        <w:t>, a namijenjeni su prevashodno za asfaltiranje, sanaciju i probijanje puteva i regulaciju vodotokova na prostorima svih mjesnih zajednica.</w:t>
      </w:r>
    </w:p>
    <w:p w:rsidR="004750FE" w:rsidRPr="00CE6689" w:rsidRDefault="004750FE" w:rsidP="004750FE">
      <w:pPr>
        <w:ind w:firstLine="720"/>
        <w:jc w:val="both"/>
        <w:rPr>
          <w:rFonts w:ascii="Arial" w:hAnsi="Arial" w:cs="Arial"/>
          <w:lang w:val="es-US"/>
        </w:rPr>
      </w:pPr>
    </w:p>
    <w:p w:rsidR="004750FE" w:rsidRPr="00CE6689" w:rsidRDefault="004750FE" w:rsidP="004750FE">
      <w:pPr>
        <w:ind w:firstLine="720"/>
        <w:jc w:val="both"/>
        <w:rPr>
          <w:rFonts w:ascii="Arial" w:hAnsi="Arial" w:cs="Arial"/>
          <w:lang w:val="es-US"/>
        </w:rPr>
      </w:pPr>
    </w:p>
    <w:p w:rsidR="004750FE" w:rsidRPr="00CE6689" w:rsidRDefault="004750FE" w:rsidP="004750FE">
      <w:pPr>
        <w:tabs>
          <w:tab w:val="left" w:pos="3765"/>
        </w:tabs>
        <w:rPr>
          <w:rFonts w:ascii="Arial" w:hAnsi="Arial" w:cs="Arial"/>
          <w:b/>
          <w:sz w:val="16"/>
          <w:szCs w:val="16"/>
          <w:lang w:val="es-US"/>
        </w:rPr>
      </w:pPr>
    </w:p>
    <w:p w:rsidR="004750FE" w:rsidRPr="00FA5147" w:rsidRDefault="004750FE" w:rsidP="00715DEC">
      <w:pPr>
        <w:rPr>
          <w:rFonts w:ascii="Arial" w:hAnsi="Arial" w:cs="Arial"/>
          <w:b/>
          <w:sz w:val="16"/>
          <w:szCs w:val="16"/>
          <w:lang w:val="es-US"/>
        </w:rPr>
      </w:pPr>
    </w:p>
    <w:p w:rsidR="003E4EF7" w:rsidRDefault="004750FE" w:rsidP="00FA5147">
      <w:pPr>
        <w:ind w:firstLine="142"/>
        <w:jc w:val="center"/>
        <w:rPr>
          <w:rFonts w:ascii="Arial" w:hAnsi="Arial" w:cs="Arial"/>
          <w:b/>
          <w:sz w:val="28"/>
          <w:szCs w:val="28"/>
        </w:rPr>
      </w:pPr>
      <w:proofErr w:type="gramStart"/>
      <w:r w:rsidRPr="0097306C">
        <w:rPr>
          <w:rFonts w:ascii="Arial" w:hAnsi="Arial" w:cs="Arial"/>
          <w:b/>
          <w:sz w:val="28"/>
          <w:szCs w:val="28"/>
        </w:rPr>
        <w:t>PREDLOG REBALANSA KAPITALNOG BUDŽETA ZA 2021.</w:t>
      </w:r>
      <w:proofErr w:type="gramEnd"/>
      <w:r w:rsidRPr="0097306C">
        <w:rPr>
          <w:rFonts w:ascii="Arial" w:hAnsi="Arial" w:cs="Arial"/>
          <w:b/>
          <w:sz w:val="28"/>
          <w:szCs w:val="28"/>
        </w:rPr>
        <w:t xml:space="preserve"> GODINU</w:t>
      </w:r>
    </w:p>
    <w:p w:rsidR="00FA5147" w:rsidRPr="00FA5147" w:rsidRDefault="00FA5147" w:rsidP="00FA5147">
      <w:pPr>
        <w:ind w:firstLine="142"/>
        <w:jc w:val="center"/>
        <w:rPr>
          <w:rFonts w:ascii="Arial" w:hAnsi="Arial" w:cs="Arial"/>
          <w:b/>
          <w:sz w:val="16"/>
          <w:szCs w:val="16"/>
        </w:rPr>
      </w:pPr>
    </w:p>
    <w:tbl>
      <w:tblPr>
        <w:tblW w:w="9990" w:type="dxa"/>
        <w:jc w:val="center"/>
        <w:tblCellMar>
          <w:left w:w="70" w:type="dxa"/>
          <w:right w:w="70" w:type="dxa"/>
        </w:tblCellMar>
        <w:tblLook w:val="04A0"/>
      </w:tblPr>
      <w:tblGrid>
        <w:gridCol w:w="1085"/>
        <w:gridCol w:w="5039"/>
        <w:gridCol w:w="1616"/>
        <w:gridCol w:w="1437"/>
        <w:gridCol w:w="813"/>
      </w:tblGrid>
      <w:tr w:rsidR="004750FE" w:rsidRPr="0097306C" w:rsidTr="00EA048B">
        <w:trPr>
          <w:trHeight w:hRule="exact" w:val="794"/>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P R I M I C I</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Plan budžeta za 2021.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Rebalans za 2021. g.</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Index 4/3</w:t>
            </w:r>
          </w:p>
        </w:tc>
      </w:tr>
      <w:tr w:rsidR="004750FE" w:rsidRPr="0097306C" w:rsidTr="00EA048B">
        <w:trPr>
          <w:trHeight w:val="210"/>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1</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2</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3</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4</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5</w:t>
            </w:r>
          </w:p>
        </w:tc>
      </w:tr>
      <w:tr w:rsidR="004750FE" w:rsidRPr="0097306C" w:rsidTr="00EA048B">
        <w:trPr>
          <w:trHeight w:val="600"/>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714-6-2</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Naknada za komunalno opremanje građevinskog zemljišta - komunalije</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3.600.000,00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2.500.000,00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69,44</w:t>
            </w:r>
          </w:p>
        </w:tc>
      </w:tr>
      <w:tr w:rsidR="004750FE" w:rsidRPr="0097306C" w:rsidTr="00EA048B">
        <w:trPr>
          <w:trHeight w:val="600"/>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714-6-3</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Naknada od urbane sanacije i drugih izvora prihoda u skladu sa zakonom</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33,33</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714-6-3-1</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Posebna naknada na investicije</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70,00</w:t>
            </w:r>
          </w:p>
        </w:tc>
      </w:tr>
      <w:tr w:rsidR="004750FE" w:rsidRPr="0097306C" w:rsidTr="00EA048B">
        <w:trPr>
          <w:trHeight w:val="600"/>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714-6-4</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xml:space="preserve">Naknada za komunalno opremanje i zakup građev. </w:t>
            </w:r>
            <w:proofErr w:type="gramStart"/>
            <w:r w:rsidRPr="0097306C">
              <w:rPr>
                <w:rFonts w:ascii="Arial" w:hAnsi="Arial" w:cs="Arial"/>
                <w:b/>
                <w:bCs/>
                <w:color w:val="000000"/>
                <w:lang w:eastAsia="sr-Latn-CS"/>
              </w:rPr>
              <w:t>zemljišta</w:t>
            </w:r>
            <w:proofErr w:type="gramEnd"/>
            <w:r w:rsidRPr="0097306C">
              <w:rPr>
                <w:rFonts w:ascii="Arial" w:hAnsi="Arial" w:cs="Arial"/>
                <w:b/>
                <w:bCs/>
                <w:color w:val="000000"/>
                <w:lang w:eastAsia="sr-Latn-CS"/>
              </w:rPr>
              <w:t xml:space="preserve"> - privr. objekti</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37"/>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721-1</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FA5147" w:rsidRDefault="00FA5147" w:rsidP="003E4EF7">
            <w:pPr>
              <w:spacing w:after="0"/>
              <w:rPr>
                <w:rFonts w:ascii="Arial" w:hAnsi="Arial" w:cs="Arial"/>
                <w:b/>
                <w:bCs/>
                <w:color w:val="000000"/>
                <w:lang w:val="es-US" w:eastAsia="sr-Latn-CS"/>
              </w:rPr>
            </w:pPr>
            <w:r w:rsidRPr="00FA5147">
              <w:rPr>
                <w:rFonts w:ascii="Arial" w:hAnsi="Arial" w:cs="Arial"/>
                <w:b/>
                <w:bCs/>
                <w:color w:val="000000"/>
                <w:lang w:val="es-US"/>
              </w:rPr>
              <w:t>Prodaje nepokretnosti u korist budžeta opš</w:t>
            </w:r>
            <w:r>
              <w:rPr>
                <w:rFonts w:ascii="Arial" w:hAnsi="Arial" w:cs="Arial"/>
                <w:b/>
                <w:bCs/>
                <w:color w:val="000000"/>
                <w:lang w:val="es-US"/>
              </w:rPr>
              <w:t>tine</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2.300.000,00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1.500.000,00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65,22</w:t>
            </w:r>
          </w:p>
        </w:tc>
      </w:tr>
      <w:tr w:rsidR="004750FE" w:rsidRPr="0097306C" w:rsidTr="00EA048B">
        <w:trPr>
          <w:trHeight w:val="355"/>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732-1</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Sredstva prenesena iz prethodne godine</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1.100.000,00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2.165.000,00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196,82</w:t>
            </w:r>
          </w:p>
        </w:tc>
      </w:tr>
      <w:tr w:rsidR="004750FE" w:rsidRPr="0097306C" w:rsidTr="00EA048B">
        <w:trPr>
          <w:trHeight w:val="355"/>
          <w:jc w:val="center"/>
        </w:trPr>
        <w:tc>
          <w:tcPr>
            <w:tcW w:w="1085" w:type="dxa"/>
            <w:tcBorders>
              <w:top w:val="nil"/>
              <w:left w:val="single" w:sz="4" w:space="0" w:color="auto"/>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741-2</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Kapitalne donacije u korist budžeta</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405"/>
          <w:jc w:val="center"/>
        </w:trPr>
        <w:tc>
          <w:tcPr>
            <w:tcW w:w="1085" w:type="dxa"/>
            <w:tcBorders>
              <w:top w:val="nil"/>
              <w:left w:val="single" w:sz="4" w:space="0" w:color="auto"/>
              <w:bottom w:val="single" w:sz="4" w:space="0" w:color="auto"/>
              <w:right w:val="single" w:sz="4" w:space="0" w:color="auto"/>
            </w:tcBorders>
            <w:shd w:val="clear" w:color="000000" w:fill="8DB4E3"/>
            <w:noWrap/>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UKUPNO:</w:t>
            </w:r>
          </w:p>
        </w:tc>
        <w:tc>
          <w:tcPr>
            <w:tcW w:w="1616"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7.810.000,00</w:t>
            </w:r>
          </w:p>
        </w:tc>
        <w:tc>
          <w:tcPr>
            <w:tcW w:w="1437"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6.745.000,00</w:t>
            </w:r>
          </w:p>
        </w:tc>
        <w:tc>
          <w:tcPr>
            <w:tcW w:w="813" w:type="dxa"/>
            <w:tcBorders>
              <w:top w:val="nil"/>
              <w:left w:val="nil"/>
              <w:bottom w:val="single" w:sz="4" w:space="0" w:color="auto"/>
              <w:right w:val="single" w:sz="4" w:space="0" w:color="auto"/>
            </w:tcBorders>
            <w:shd w:val="clear" w:color="000000" w:fill="8DB4E3"/>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86,36</w:t>
            </w:r>
          </w:p>
        </w:tc>
      </w:tr>
      <w:tr w:rsidR="004750FE" w:rsidRPr="0097306C" w:rsidTr="00EA048B">
        <w:trPr>
          <w:trHeight w:val="300"/>
          <w:jc w:val="center"/>
        </w:trPr>
        <w:tc>
          <w:tcPr>
            <w:tcW w:w="1085" w:type="dxa"/>
            <w:tcBorders>
              <w:top w:val="nil"/>
              <w:left w:val="nil"/>
              <w:bottom w:val="nil"/>
              <w:right w:val="nil"/>
            </w:tcBorders>
            <w:shd w:val="clear" w:color="auto" w:fill="auto"/>
            <w:noWrap/>
            <w:vAlign w:val="center"/>
            <w:hideMark/>
          </w:tcPr>
          <w:p w:rsidR="004750FE" w:rsidRPr="004A465E" w:rsidRDefault="004750FE" w:rsidP="003E4EF7">
            <w:pPr>
              <w:spacing w:after="0"/>
              <w:jc w:val="right"/>
              <w:rPr>
                <w:rFonts w:ascii="Arial" w:hAnsi="Arial" w:cs="Arial"/>
                <w:color w:val="000000"/>
                <w:sz w:val="48"/>
                <w:szCs w:val="48"/>
                <w:lang w:eastAsia="sr-Latn-CS"/>
              </w:rPr>
            </w:pPr>
          </w:p>
        </w:tc>
        <w:tc>
          <w:tcPr>
            <w:tcW w:w="5039" w:type="dxa"/>
            <w:tcBorders>
              <w:top w:val="nil"/>
              <w:left w:val="nil"/>
              <w:bottom w:val="nil"/>
              <w:right w:val="nil"/>
            </w:tcBorders>
            <w:shd w:val="clear" w:color="auto" w:fill="auto"/>
            <w:vAlign w:val="center"/>
            <w:hideMark/>
          </w:tcPr>
          <w:p w:rsidR="004750FE" w:rsidRPr="00FA5147" w:rsidRDefault="004750FE" w:rsidP="003E4EF7">
            <w:pPr>
              <w:spacing w:after="0"/>
              <w:rPr>
                <w:rFonts w:ascii="Arial" w:hAnsi="Arial" w:cs="Arial"/>
                <w:color w:val="000000"/>
                <w:sz w:val="48"/>
                <w:szCs w:val="48"/>
                <w:lang w:eastAsia="sr-Latn-CS"/>
              </w:rPr>
            </w:pPr>
          </w:p>
        </w:tc>
        <w:tc>
          <w:tcPr>
            <w:tcW w:w="1616" w:type="dxa"/>
            <w:tcBorders>
              <w:top w:val="nil"/>
              <w:left w:val="nil"/>
              <w:bottom w:val="nil"/>
              <w:right w:val="nil"/>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p>
        </w:tc>
        <w:tc>
          <w:tcPr>
            <w:tcW w:w="1437" w:type="dxa"/>
            <w:tcBorders>
              <w:top w:val="nil"/>
              <w:left w:val="nil"/>
              <w:bottom w:val="nil"/>
              <w:right w:val="nil"/>
            </w:tcBorders>
            <w:shd w:val="clear" w:color="auto" w:fill="auto"/>
            <w:vAlign w:val="center"/>
            <w:hideMark/>
          </w:tcPr>
          <w:p w:rsidR="004750FE" w:rsidRPr="0097306C" w:rsidRDefault="004750FE" w:rsidP="003E4EF7">
            <w:pPr>
              <w:spacing w:after="0"/>
              <w:rPr>
                <w:rFonts w:ascii="Arial" w:hAnsi="Arial" w:cs="Arial"/>
                <w:color w:val="000000"/>
                <w:lang w:eastAsia="sr-Latn-CS"/>
              </w:rPr>
            </w:pPr>
          </w:p>
        </w:tc>
        <w:tc>
          <w:tcPr>
            <w:tcW w:w="813" w:type="dxa"/>
            <w:tcBorders>
              <w:top w:val="nil"/>
              <w:left w:val="nil"/>
              <w:bottom w:val="nil"/>
              <w:right w:val="nil"/>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p>
        </w:tc>
      </w:tr>
      <w:tr w:rsidR="004750FE" w:rsidRPr="0097306C" w:rsidTr="00EA048B">
        <w:trPr>
          <w:trHeight w:hRule="exact" w:val="851"/>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I Z D A C I</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Plan budžeta za 2021.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Rebalans za 2021. g.</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Index 4/3</w:t>
            </w:r>
          </w:p>
        </w:tc>
      </w:tr>
      <w:tr w:rsidR="004750FE" w:rsidRPr="0097306C" w:rsidTr="00EA048B">
        <w:trPr>
          <w:trHeight w:val="112"/>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1</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2</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3</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4</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center"/>
              <w:rPr>
                <w:rFonts w:ascii="Arial" w:hAnsi="Arial" w:cs="Arial"/>
                <w:b/>
                <w:bCs/>
                <w:color w:val="000000"/>
                <w:sz w:val="16"/>
                <w:szCs w:val="16"/>
                <w:lang w:eastAsia="sr-Latn-CS"/>
              </w:rPr>
            </w:pPr>
            <w:r w:rsidRPr="0097306C">
              <w:rPr>
                <w:rFonts w:ascii="Arial" w:hAnsi="Arial" w:cs="Arial"/>
                <w:b/>
                <w:bCs/>
                <w:color w:val="000000"/>
                <w:sz w:val="16"/>
                <w:szCs w:val="16"/>
                <w:lang w:eastAsia="sr-Latn-CS"/>
              </w:rPr>
              <w:t>5</w:t>
            </w:r>
          </w:p>
        </w:tc>
      </w:tr>
      <w:tr w:rsidR="004750FE" w:rsidRPr="0097306C" w:rsidTr="00EA048B">
        <w:trPr>
          <w:trHeight w:val="472"/>
          <w:jc w:val="center"/>
        </w:trPr>
        <w:tc>
          <w:tcPr>
            <w:tcW w:w="1085" w:type="dxa"/>
            <w:tcBorders>
              <w:top w:val="nil"/>
              <w:left w:val="single" w:sz="4" w:space="0" w:color="auto"/>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KAPITALNI BUDŽET</w:t>
            </w:r>
          </w:p>
        </w:tc>
        <w:tc>
          <w:tcPr>
            <w:tcW w:w="1616"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8.110.000,00</w:t>
            </w:r>
          </w:p>
        </w:tc>
        <w:tc>
          <w:tcPr>
            <w:tcW w:w="1437"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9.082.000,00</w:t>
            </w:r>
          </w:p>
        </w:tc>
        <w:tc>
          <w:tcPr>
            <w:tcW w:w="813" w:type="dxa"/>
            <w:tcBorders>
              <w:top w:val="nil"/>
              <w:left w:val="nil"/>
              <w:bottom w:val="single" w:sz="4" w:space="0" w:color="auto"/>
              <w:right w:val="single" w:sz="4" w:space="0" w:color="auto"/>
            </w:tcBorders>
            <w:shd w:val="clear" w:color="000000" w:fill="95B3D7"/>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111,99</w:t>
            </w:r>
          </w:p>
        </w:tc>
      </w:tr>
      <w:tr w:rsidR="004750FE" w:rsidRPr="0097306C" w:rsidTr="00EA048B">
        <w:trPr>
          <w:trHeight w:val="409"/>
          <w:jc w:val="center"/>
        </w:trPr>
        <w:tc>
          <w:tcPr>
            <w:tcW w:w="1085" w:type="dxa"/>
            <w:tcBorders>
              <w:top w:val="nil"/>
              <w:left w:val="single" w:sz="4" w:space="0" w:color="auto"/>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w:t>
            </w:r>
          </w:p>
        </w:tc>
        <w:tc>
          <w:tcPr>
            <w:tcW w:w="5039"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xml:space="preserve">KAPITALNI IZDACI </w:t>
            </w:r>
          </w:p>
        </w:tc>
        <w:tc>
          <w:tcPr>
            <w:tcW w:w="1616"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7.810.000,00</w:t>
            </w:r>
          </w:p>
        </w:tc>
        <w:tc>
          <w:tcPr>
            <w:tcW w:w="1437" w:type="dxa"/>
            <w:tcBorders>
              <w:top w:val="nil"/>
              <w:left w:val="nil"/>
              <w:bottom w:val="single" w:sz="4" w:space="0" w:color="auto"/>
              <w:right w:val="single" w:sz="4" w:space="0" w:color="auto"/>
            </w:tcBorders>
            <w:shd w:val="clear" w:color="000000" w:fill="95B3D7"/>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8.272.000,00</w:t>
            </w:r>
          </w:p>
        </w:tc>
        <w:tc>
          <w:tcPr>
            <w:tcW w:w="813" w:type="dxa"/>
            <w:tcBorders>
              <w:top w:val="nil"/>
              <w:left w:val="nil"/>
              <w:bottom w:val="single" w:sz="4" w:space="0" w:color="auto"/>
              <w:right w:val="single" w:sz="4" w:space="0" w:color="auto"/>
            </w:tcBorders>
            <w:shd w:val="clear" w:color="000000" w:fill="95B3D7"/>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105,92</w:t>
            </w:r>
          </w:p>
        </w:tc>
      </w:tr>
      <w:tr w:rsidR="004750FE" w:rsidRPr="0097306C" w:rsidTr="00EA048B">
        <w:trPr>
          <w:trHeight w:val="382"/>
          <w:jc w:val="center"/>
        </w:trPr>
        <w:tc>
          <w:tcPr>
            <w:tcW w:w="1085"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lokalnu infrastrukturu</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4.650.000,00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4.300.000,00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92,47</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441-2-1</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Lokalni putevi (izgr. lok. putne mreže)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1.200.000,00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83,33</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Žukotrlica 1</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Žukotrlica 2</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 prema zgradi penzionera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Bjeliši-raskrsnica – Bomako</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Topolica – Bjeliši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Sutomore – Pejanović</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Sutomore – Maljevik</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Topolica III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Topolica III – Soho</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Ilino</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Veliki Pijesak</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Veliki Pijesak</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Saobraćajnica Topolica IV – Kips</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4A465E"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Izrada puta za Mikuliće po sporazumu sa VCG</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441-2-2</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Rasvjeta i elektrosnabdijevanje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50.000,00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150.000,00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300,00</w:t>
            </w:r>
          </w:p>
        </w:tc>
      </w:tr>
      <w:tr w:rsidR="004750FE" w:rsidRPr="004A465E" w:rsidTr="00EA048B">
        <w:trPr>
          <w:trHeight w:val="37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Rekonstrukcija javne rasvjete po mjesnim zajednicama</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97306C" w:rsidTr="00EA048B">
        <w:trPr>
          <w:trHeight w:val="30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lastRenderedPageBreak/>
              <w:t>441-2-3</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Vodosnabdijevanje</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250.000,00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250.000,00</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Marovići III faza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30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Čanj – pumpe</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Šušanj</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441-2-7</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xml:space="preserve">Kanalizacija i kolektori </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350.000,00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28,57</w:t>
            </w:r>
          </w:p>
        </w:tc>
      </w:tr>
      <w:tr w:rsidR="004750FE" w:rsidRPr="004A465E" w:rsidTr="00EA048B">
        <w:trPr>
          <w:trHeight w:val="337"/>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Kanalizacija Topolica – Bjeliši (otvoreni kanal potoka Đinovića)</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4A465E"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color w:val="000000"/>
                <w:sz w:val="20"/>
                <w:szCs w:val="20"/>
                <w:lang w:val="es-US" w:eastAsia="sr-Latn-CS"/>
              </w:rPr>
            </w:pPr>
            <w:r w:rsidRPr="00EA048B">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Kanalizacija Stari Bar (pokrivanje potoka)</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441-2-8</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Ostalo - otkup zemlje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1.700.000,00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1.700.000,00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za Maljevik</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 Žukotrlica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Topolica III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Topolica IV</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Topolica – Bjeliši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Bjeliši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zemljišta Sutomore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hRule="exact" w:val="907"/>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Otkup dijela zemljišta za saobraćajnicu kroz Pečurice i saobraćajnicu na Velikom Pijesku u zoni “B“ DUP “Veliki Pijesak“</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4A465E" w:rsidTr="003E4EF7">
        <w:trPr>
          <w:trHeight w:hRule="exact" w:val="68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Otkup po Programu uređenja prostora u cilju službenosti prolaza</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r>
      <w:tr w:rsidR="004750FE" w:rsidRPr="0097306C" w:rsidTr="009578AD">
        <w:trPr>
          <w:trHeight w:hRule="exact" w:val="397"/>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441-2-9</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ugovorene obaveze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1.100.000,00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1.100.000,00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3E4EF7">
        <w:trPr>
          <w:trHeight w:hRule="exact" w:val="397"/>
          <w:jc w:val="center"/>
        </w:trPr>
        <w:tc>
          <w:tcPr>
            <w:tcW w:w="1085"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441-3</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građevinske objekte</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750.000,00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1.210.000,00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161,33</w:t>
            </w:r>
          </w:p>
        </w:tc>
      </w:tr>
      <w:tr w:rsidR="004750FE" w:rsidRPr="0097306C" w:rsidTr="009578AD">
        <w:trPr>
          <w:trHeight w:hRule="exact" w:val="397"/>
          <w:jc w:val="center"/>
        </w:trPr>
        <w:tc>
          <w:tcPr>
            <w:tcW w:w="1085" w:type="dxa"/>
            <w:tcBorders>
              <w:top w:val="nil"/>
              <w:left w:val="single" w:sz="4" w:space="0" w:color="auto"/>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441-3-1</w:t>
            </w:r>
          </w:p>
        </w:tc>
        <w:tc>
          <w:tcPr>
            <w:tcW w:w="5039"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Građevinski objekti - admin. zgrade</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750.000,00</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1.210.000,00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161,33</w:t>
            </w:r>
          </w:p>
        </w:tc>
      </w:tr>
      <w:tr w:rsidR="004750FE" w:rsidRPr="0097306C" w:rsidTr="003E4EF7">
        <w:trPr>
          <w:trHeight w:hRule="exact" w:val="680"/>
          <w:jc w:val="center"/>
        </w:trPr>
        <w:tc>
          <w:tcPr>
            <w:tcW w:w="1085" w:type="dxa"/>
            <w:tcBorders>
              <w:top w:val="nil"/>
              <w:left w:val="single" w:sz="4" w:space="0" w:color="auto"/>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FFFFFF"/>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xml:space="preserve">Izgradnja objekta za djecu sa posebnim potrebama </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200.000,00</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xml:space="preserve">Azil za napuštene životinje </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150.000,00</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Cs/>
                <w:color w:val="000000"/>
                <w:lang w:eastAsia="sr-Latn-CS"/>
              </w:rPr>
            </w:pPr>
            <w:r w:rsidRPr="0097306C">
              <w:rPr>
                <w:rFonts w:ascii="Arial" w:hAnsi="Arial" w:cs="Arial"/>
                <w:bCs/>
                <w:color w:val="000000"/>
                <w:lang w:eastAsia="sr-Latn-CS"/>
              </w:rPr>
              <w:t>460.000,00 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3E4EF7">
        <w:trPr>
          <w:trHeight w:hRule="exact" w:val="680"/>
          <w:jc w:val="center"/>
        </w:trPr>
        <w:tc>
          <w:tcPr>
            <w:tcW w:w="1085" w:type="dxa"/>
            <w:tcBorders>
              <w:top w:val="nil"/>
              <w:left w:val="single" w:sz="4" w:space="0" w:color="auto"/>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FFFFFF"/>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Rekonstrukcija građ. objekata od javnog značaja (objekti toaleta u S. Baru)</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50.000,00</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xml:space="preserve">Izgradnja gradske kuće </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350.000,00</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3E4EF7">
        <w:trPr>
          <w:trHeight w:hRule="exact" w:val="397"/>
          <w:jc w:val="center"/>
        </w:trPr>
        <w:tc>
          <w:tcPr>
            <w:tcW w:w="1085"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441-4</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uređenje zemljišta</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1.400.000,00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1.400.000,00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9578AD">
        <w:trPr>
          <w:trHeight w:hRule="exact" w:val="397"/>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441-4-2</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Uređenja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900.000,00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900.000,00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Uređenje gradskog trga Vladimira i Kosare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4A465E"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Uređenje kaldrme u Starom Baru</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EA048B" w:rsidRDefault="004750FE" w:rsidP="003E4EF7">
            <w:pPr>
              <w:spacing w:after="0"/>
              <w:jc w:val="right"/>
              <w:rPr>
                <w:rFonts w:ascii="Arial" w:hAnsi="Arial" w:cs="Arial"/>
                <w:b/>
                <w:bCs/>
                <w:color w:val="000000"/>
                <w:sz w:val="20"/>
                <w:szCs w:val="20"/>
                <w:lang w:val="es-US" w:eastAsia="sr-Latn-CS"/>
              </w:rPr>
            </w:pPr>
            <w:r w:rsidRPr="00EA048B">
              <w:rPr>
                <w:rFonts w:ascii="Arial" w:hAnsi="Arial" w:cs="Arial"/>
                <w:b/>
                <w:bCs/>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Park Topolica – Bjeliši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Park Topolica III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Uređenje trga u Sutomoru</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Ostala uređenja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9578AD">
        <w:trPr>
          <w:trHeight w:hRule="exact" w:val="397"/>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441-4-3</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xml:space="preserve">Plansko - projektna dokumentacija </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500.000,00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500.000,00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Projekat put preko Sutormana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Projekat pothodnika Sutomore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Projekti vodovoda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Projekti kanalizacije</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Projekti građevinskih objekata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Projekat ekološke zaštite obal. područja (Šušanj)</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Geodetski projekti</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r>
      <w:tr w:rsidR="004750FE" w:rsidRPr="0097306C" w:rsidTr="009578AD">
        <w:trPr>
          <w:trHeight w:hRule="exact" w:val="397"/>
          <w:jc w:val="center"/>
        </w:trPr>
        <w:tc>
          <w:tcPr>
            <w:tcW w:w="108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lastRenderedPageBreak/>
              <w:t>441-5</w:t>
            </w:r>
          </w:p>
        </w:tc>
        <w:tc>
          <w:tcPr>
            <w:tcW w:w="5039" w:type="dxa"/>
            <w:tcBorders>
              <w:top w:val="single" w:sz="4" w:space="0" w:color="auto"/>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Izdaci za opremu</w:t>
            </w:r>
          </w:p>
        </w:tc>
        <w:tc>
          <w:tcPr>
            <w:tcW w:w="1616" w:type="dxa"/>
            <w:tcBorders>
              <w:top w:val="single" w:sz="4" w:space="0" w:color="auto"/>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200.000,00</w:t>
            </w:r>
          </w:p>
        </w:tc>
        <w:tc>
          <w:tcPr>
            <w:tcW w:w="1437" w:type="dxa"/>
            <w:tcBorders>
              <w:top w:val="single" w:sz="4" w:space="0" w:color="auto"/>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352.000,00</w:t>
            </w:r>
          </w:p>
        </w:tc>
        <w:tc>
          <w:tcPr>
            <w:tcW w:w="813" w:type="dxa"/>
            <w:tcBorders>
              <w:top w:val="single" w:sz="4" w:space="0" w:color="auto"/>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176,00</w:t>
            </w:r>
          </w:p>
        </w:tc>
      </w:tr>
      <w:tr w:rsidR="004750FE" w:rsidRPr="004A465E"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Izdaci za opremu za Kulturni centar</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97306C" w:rsidTr="00EA048B">
        <w:trPr>
          <w:trHeight w:val="30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sz w:val="20"/>
                <w:szCs w:val="20"/>
                <w:lang w:val="es-US" w:eastAsia="sr-Latn-CS"/>
              </w:rPr>
            </w:pPr>
            <w:r w:rsidRPr="00EA048B">
              <w:rPr>
                <w:rFonts w:ascii="Arial" w:hAnsi="Arial" w:cs="Arial"/>
                <w:color w:val="000000"/>
                <w:sz w:val="20"/>
                <w:szCs w:val="20"/>
                <w:lang w:val="es-US" w:eastAsia="sr-Latn-CS"/>
              </w:rPr>
              <w:t> </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Oprema Službe zaštite i spašavanja</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single" w:sz="4" w:space="0" w:color="auto"/>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Nabavka vatrogasnog vozila</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274"/>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Rekonstrukcija – izgradnja semafora</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p>
        </w:tc>
      </w:tr>
      <w:tr w:rsidR="004750FE" w:rsidRPr="0097306C" w:rsidTr="00EA048B">
        <w:trPr>
          <w:trHeight w:val="724"/>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Kancelarijska oprema za organe lokalne uprave, oprema za semafore, kao i za opremu biblioteke na Virpazaru</w:t>
            </w:r>
          </w:p>
        </w:tc>
        <w:tc>
          <w:tcPr>
            <w:tcW w:w="1616"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000000" w:fill="FFFFFF"/>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441-6</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Investiciono održavanje</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600.000,00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800.000,00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133,33</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Infrastr. opšteg značaja–putevi po programu MZ</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570.000,00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205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b/>
                <w:bCs/>
                <w:color w:val="000000"/>
                <w:lang w:eastAsia="sr-Latn-CS"/>
              </w:rPr>
              <w:t>Asfaltiranje, sanacija i probijanje puteva, regulacija vodotokova na prostorima MZ,</w:t>
            </w:r>
            <w:r w:rsidRPr="0097306C">
              <w:rPr>
                <w:rFonts w:ascii="Arial" w:hAnsi="Arial" w:cs="Arial"/>
                <w:color w:val="000000"/>
                <w:lang w:eastAsia="sr-Latn-CS"/>
              </w:rPr>
              <w:t xml:space="preserve"> i to: MZ Bar I; MZ Bar II; MZ Bar III; MZ Bar IV; MZ Bar V; MZ Šušanj; MZ Spič; MZ S. Bar; MZ Mrkojevići; MZ Crmnica; MZ Ostros i MZ Šestani. Izdacima za investiciono održavanje finansiraće se projekti po MZ, shodno prilivu sredstava po osnovu legalizacije obj. sa prostora pojedinih MZ.</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87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b/>
                <w:bCs/>
                <w:color w:val="000000"/>
                <w:lang w:eastAsia="sr-Latn-CS"/>
              </w:rPr>
              <w:t>MZ „Bar I</w:t>
            </w:r>
            <w:proofErr w:type="gramStart"/>
            <w:r w:rsidRPr="0097306C">
              <w:rPr>
                <w:rFonts w:ascii="Arial" w:hAnsi="Arial" w:cs="Arial"/>
                <w:b/>
                <w:bCs/>
                <w:color w:val="000000"/>
                <w:lang w:eastAsia="sr-Latn-CS"/>
              </w:rPr>
              <w:t>“</w:t>
            </w:r>
            <w:r w:rsidRPr="0097306C">
              <w:rPr>
                <w:rFonts w:ascii="Arial" w:hAnsi="Arial" w:cs="Arial"/>
                <w:color w:val="000000"/>
                <w:lang w:eastAsia="sr-Latn-CS"/>
              </w:rPr>
              <w:t xml:space="preserve"> </w:t>
            </w:r>
            <w:r w:rsidRPr="0097306C">
              <w:rPr>
                <w:rFonts w:ascii="Arial" w:hAnsi="Arial" w:cs="Arial"/>
                <w:b/>
                <w:bCs/>
                <w:color w:val="000000"/>
                <w:lang w:eastAsia="sr-Latn-CS"/>
              </w:rPr>
              <w:t>-</w:t>
            </w:r>
            <w:proofErr w:type="gramEnd"/>
            <w:r w:rsidRPr="0097306C">
              <w:rPr>
                <w:rFonts w:ascii="Arial" w:hAnsi="Arial" w:cs="Arial"/>
                <w:b/>
                <w:bCs/>
                <w:color w:val="000000"/>
                <w:lang w:eastAsia="sr-Latn-CS"/>
              </w:rPr>
              <w:t xml:space="preserve"> Topolica </w:t>
            </w:r>
            <w:r w:rsidRPr="0097306C">
              <w:rPr>
                <w:rFonts w:ascii="Arial" w:hAnsi="Arial" w:cs="Arial"/>
                <w:color w:val="000000"/>
                <w:lang w:eastAsia="sr-Latn-CS"/>
              </w:rPr>
              <w:t>- sanacija saobraćajnica i pješačkih komunikacija, horizontalne i vertikalne signaliz i drugo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14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b/>
                <w:bCs/>
                <w:color w:val="000000"/>
                <w:lang w:eastAsia="sr-Latn-CS"/>
              </w:rPr>
              <w:t>MZ „Bar II</w:t>
            </w:r>
            <w:proofErr w:type="gramStart"/>
            <w:r w:rsidRPr="0097306C">
              <w:rPr>
                <w:rFonts w:ascii="Arial" w:hAnsi="Arial" w:cs="Arial"/>
                <w:b/>
                <w:bCs/>
                <w:color w:val="000000"/>
                <w:lang w:eastAsia="sr-Latn-CS"/>
              </w:rPr>
              <w:t>“ -</w:t>
            </w:r>
            <w:proofErr w:type="gramEnd"/>
            <w:r w:rsidRPr="0097306C">
              <w:rPr>
                <w:rFonts w:ascii="Arial" w:hAnsi="Arial" w:cs="Arial"/>
                <w:b/>
                <w:bCs/>
                <w:color w:val="000000"/>
                <w:lang w:eastAsia="sr-Latn-CS"/>
              </w:rPr>
              <w:t xml:space="preserve"> Polje -</w:t>
            </w:r>
            <w:r w:rsidRPr="0097306C">
              <w:rPr>
                <w:rFonts w:ascii="Arial" w:hAnsi="Arial" w:cs="Arial"/>
                <w:color w:val="000000"/>
                <w:lang w:eastAsia="sr-Latn-CS"/>
              </w:rPr>
              <w:t xml:space="preserve"> sanacija saobraćajnica, pješačkih komunikacija, horizontalne i vertikalne signalizacija; sanacija puta na kat.parceli 3880 KO Polje; asfaltiranje kraka ulice Andrije Miranovića i drugo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258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b/>
                <w:bCs/>
                <w:color w:val="000000"/>
                <w:lang w:eastAsia="sr-Latn-CS"/>
              </w:rPr>
              <w:t>MZ „Bar III</w:t>
            </w:r>
            <w:proofErr w:type="gramStart"/>
            <w:r w:rsidRPr="0097306C">
              <w:rPr>
                <w:rFonts w:ascii="Arial" w:hAnsi="Arial" w:cs="Arial"/>
                <w:b/>
                <w:bCs/>
                <w:color w:val="000000"/>
                <w:lang w:eastAsia="sr-Latn-CS"/>
              </w:rPr>
              <w:t>“</w:t>
            </w:r>
            <w:r w:rsidRPr="0097306C">
              <w:rPr>
                <w:rFonts w:ascii="Arial" w:hAnsi="Arial" w:cs="Arial"/>
                <w:color w:val="000000"/>
                <w:lang w:eastAsia="sr-Latn-CS"/>
              </w:rPr>
              <w:t xml:space="preserve"> -</w:t>
            </w:r>
            <w:proofErr w:type="gramEnd"/>
            <w:r w:rsidRPr="0097306C">
              <w:rPr>
                <w:rFonts w:ascii="Arial" w:hAnsi="Arial" w:cs="Arial"/>
                <w:color w:val="000000"/>
                <w:lang w:eastAsia="sr-Latn-CS"/>
              </w:rPr>
              <w:t xml:space="preserve"> asfaltiranje i sanacija puteva u naseljima Stara ambulanta, Bjeliši, ul.Bjeliška; sanacija korita potoka od mosta Đinovića do zgrade Lekića (potporni zidovi); regulacija odvođenja atmosferskih voda na bulevaru (kod objekta „Berlin“); nasipanje puteva u naselju Sokolana; čišćenje korita Rene; rekonstrukcija vodotoka Rene; sanacija udarnih rupa na saobraćajnicama i drugo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4A465E" w:rsidTr="00EA048B">
        <w:trPr>
          <w:trHeight w:val="205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b/>
                <w:bCs/>
                <w:color w:val="000000"/>
                <w:lang w:val="es-US" w:eastAsia="sr-Latn-CS"/>
              </w:rPr>
              <w:t>MZ „Bar IV</w:t>
            </w:r>
            <w:proofErr w:type="gramStart"/>
            <w:r w:rsidRPr="00EA048B">
              <w:rPr>
                <w:rFonts w:ascii="Arial" w:hAnsi="Arial" w:cs="Arial"/>
                <w:b/>
                <w:bCs/>
                <w:color w:val="000000"/>
                <w:lang w:val="es-US" w:eastAsia="sr-Latn-CS"/>
              </w:rPr>
              <w:t>“</w:t>
            </w:r>
            <w:r w:rsidRPr="00EA048B">
              <w:rPr>
                <w:rFonts w:ascii="Arial" w:hAnsi="Arial" w:cs="Arial"/>
                <w:color w:val="000000"/>
                <w:lang w:val="es-US" w:eastAsia="sr-Latn-CS"/>
              </w:rPr>
              <w:t xml:space="preserve"> -</w:t>
            </w:r>
            <w:proofErr w:type="gramEnd"/>
            <w:r w:rsidRPr="00EA048B">
              <w:rPr>
                <w:rFonts w:ascii="Arial" w:hAnsi="Arial" w:cs="Arial"/>
                <w:color w:val="000000"/>
                <w:lang w:val="es-US" w:eastAsia="sr-Latn-CS"/>
              </w:rPr>
              <w:t xml:space="preserve"> pristupni put za lokaciju zgrade penzionera; atmosferska i fekalna kanalizacija u ul. Taraboških junaka; kanalizacija u ul. Pavla Rovinskog; sanacija ulice Vitorija Paganinija, Vojvode Maše Vrbice, Sutormanske ulice; nasipanje puta između kanala Rene i željezničke pruge; sanacija gradskih saobraćajnica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4A465E" w:rsidTr="00EA048B">
        <w:trPr>
          <w:trHeight w:val="9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sz w:val="20"/>
                <w:szCs w:val="20"/>
                <w:lang w:val="es-US" w:eastAsia="sr-Latn-CS"/>
              </w:rPr>
            </w:pPr>
            <w:r w:rsidRPr="00EA048B">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b/>
                <w:bCs/>
                <w:color w:val="000000"/>
                <w:lang w:val="es-US" w:eastAsia="sr-Latn-CS"/>
              </w:rPr>
              <w:t>MZ „Bar V</w:t>
            </w:r>
            <w:proofErr w:type="gramStart"/>
            <w:r w:rsidRPr="00EA048B">
              <w:rPr>
                <w:rFonts w:ascii="Arial" w:hAnsi="Arial" w:cs="Arial"/>
                <w:b/>
                <w:bCs/>
                <w:color w:val="000000"/>
                <w:lang w:val="es-US" w:eastAsia="sr-Latn-CS"/>
              </w:rPr>
              <w:t>“</w:t>
            </w:r>
            <w:r w:rsidRPr="00EA048B">
              <w:rPr>
                <w:rFonts w:ascii="Arial" w:hAnsi="Arial" w:cs="Arial"/>
                <w:color w:val="000000"/>
                <w:lang w:val="es-US" w:eastAsia="sr-Latn-CS"/>
              </w:rPr>
              <w:t xml:space="preserve"> -</w:t>
            </w:r>
            <w:proofErr w:type="gramEnd"/>
            <w:r w:rsidRPr="00EA048B">
              <w:rPr>
                <w:rFonts w:ascii="Arial" w:hAnsi="Arial" w:cs="Arial"/>
                <w:color w:val="000000"/>
                <w:lang w:val="es-US" w:eastAsia="sr-Latn-CS"/>
              </w:rPr>
              <w:t xml:space="preserve"> probijanje, nasipanje i sanacija udarnih rupa na saobraćajnicama, zubački i sutormanski put i drugo do pripad. </w:t>
            </w:r>
            <w:proofErr w:type="gramStart"/>
            <w:r w:rsidRPr="00EA048B">
              <w:rPr>
                <w:rFonts w:ascii="Arial" w:hAnsi="Arial" w:cs="Arial"/>
                <w:color w:val="000000"/>
                <w:lang w:val="es-US" w:eastAsia="sr-Latn-CS"/>
              </w:rPr>
              <w:t>iznosa</w:t>
            </w:r>
            <w:proofErr w:type="gramEnd"/>
            <w:r w:rsidRPr="00EA048B">
              <w:rPr>
                <w:rFonts w:ascii="Arial" w:hAnsi="Arial" w:cs="Arial"/>
                <w:color w:val="000000"/>
                <w:lang w:val="es-US" w:eastAsia="sr-Latn-CS"/>
              </w:rPr>
              <w:t xml:space="preserve">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4A465E" w:rsidTr="00EA048B">
        <w:trPr>
          <w:trHeight w:val="145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sz w:val="20"/>
                <w:szCs w:val="20"/>
                <w:lang w:val="es-US" w:eastAsia="sr-Latn-CS"/>
              </w:rPr>
            </w:pPr>
            <w:r w:rsidRPr="00EA048B">
              <w:rPr>
                <w:rFonts w:ascii="Arial" w:hAnsi="Arial" w:cs="Arial"/>
                <w:color w:val="000000"/>
                <w:sz w:val="20"/>
                <w:szCs w:val="20"/>
                <w:lang w:val="es-US" w:eastAsia="sr-Latn-CS"/>
              </w:rPr>
              <w:lastRenderedPageBreak/>
              <w:t> </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b/>
                <w:bCs/>
                <w:color w:val="000000"/>
                <w:lang w:val="es-US" w:eastAsia="sr-Latn-CS"/>
              </w:rPr>
              <w:t>MZ „Šušanj</w:t>
            </w:r>
            <w:proofErr w:type="gramStart"/>
            <w:r w:rsidRPr="00EA048B">
              <w:rPr>
                <w:rFonts w:ascii="Arial" w:hAnsi="Arial" w:cs="Arial"/>
                <w:b/>
                <w:bCs/>
                <w:color w:val="000000"/>
                <w:lang w:val="es-US" w:eastAsia="sr-Latn-CS"/>
              </w:rPr>
              <w:t>“</w:t>
            </w:r>
            <w:r w:rsidRPr="00EA048B">
              <w:rPr>
                <w:rFonts w:ascii="Arial" w:hAnsi="Arial" w:cs="Arial"/>
                <w:color w:val="000000"/>
                <w:lang w:val="es-US" w:eastAsia="sr-Latn-CS"/>
              </w:rPr>
              <w:t xml:space="preserve"> -</w:t>
            </w:r>
            <w:proofErr w:type="gramEnd"/>
            <w:r w:rsidRPr="00EA048B">
              <w:rPr>
                <w:rFonts w:ascii="Arial" w:hAnsi="Arial" w:cs="Arial"/>
                <w:color w:val="000000"/>
                <w:lang w:val="es-US" w:eastAsia="sr-Latn-CS"/>
              </w:rPr>
              <w:t xml:space="preserve"> asfaltiranje i sanacija ulica prema groblju kod crkve Sv. Petke, V i VI ulica Zeleni pojas, izgradnja potpornog zida; atmosferska kanalizacija kod naselja Kurpejović; asfaltiranje u naselju Gornji Šušanj i drugo do pripadajućeg iznosa sredstava.</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4750FE" w:rsidRPr="00EA048B" w:rsidRDefault="004750FE" w:rsidP="003E4EF7">
            <w:pPr>
              <w:spacing w:after="0"/>
              <w:rPr>
                <w:rFonts w:ascii="Arial" w:hAnsi="Arial" w:cs="Arial"/>
                <w:color w:val="000000"/>
                <w:lang w:val="es-US" w:eastAsia="sr-Latn-CS"/>
              </w:rPr>
            </w:pPr>
            <w:r w:rsidRPr="00EA048B">
              <w:rPr>
                <w:rFonts w:ascii="Arial" w:hAnsi="Arial" w:cs="Arial"/>
                <w:color w:val="000000"/>
                <w:lang w:val="es-US" w:eastAsia="sr-Latn-CS"/>
              </w:rPr>
              <w:t> </w:t>
            </w:r>
          </w:p>
        </w:tc>
      </w:tr>
      <w:tr w:rsidR="004750FE" w:rsidRPr="004A465E" w:rsidTr="00EA048B">
        <w:trPr>
          <w:trHeight w:val="115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0FE" w:rsidRPr="00EA048B" w:rsidRDefault="004750FE" w:rsidP="003E4EF7">
            <w:pPr>
              <w:spacing w:after="0"/>
              <w:rPr>
                <w:rFonts w:ascii="Arial" w:hAnsi="Arial" w:cs="Arial"/>
                <w:color w:val="000000"/>
                <w:sz w:val="20"/>
                <w:szCs w:val="20"/>
                <w:lang w:val="es-US" w:eastAsia="sr-Latn-CS"/>
              </w:rPr>
            </w:pPr>
            <w:r w:rsidRPr="00EA048B">
              <w:rPr>
                <w:rFonts w:ascii="Arial" w:hAnsi="Arial" w:cs="Arial"/>
                <w:color w:val="000000"/>
                <w:sz w:val="20"/>
                <w:szCs w:val="20"/>
                <w:lang w:val="es-US" w:eastAsia="sr-Latn-CS"/>
              </w:rPr>
              <w:t> </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b/>
                <w:bCs/>
                <w:color w:val="000000"/>
                <w:lang w:val="es-US" w:eastAsia="sr-Latn-CS"/>
              </w:rPr>
              <w:t>MZ „Spič</w:t>
            </w:r>
            <w:proofErr w:type="gramStart"/>
            <w:r w:rsidRPr="00CE6689">
              <w:rPr>
                <w:rFonts w:ascii="Arial" w:hAnsi="Arial" w:cs="Arial"/>
                <w:b/>
                <w:bCs/>
                <w:color w:val="000000"/>
                <w:lang w:val="es-US" w:eastAsia="sr-Latn-CS"/>
              </w:rPr>
              <w:t>“ Sutomore</w:t>
            </w:r>
            <w:proofErr w:type="gramEnd"/>
            <w:r w:rsidRPr="00CE6689">
              <w:rPr>
                <w:rFonts w:ascii="Arial" w:hAnsi="Arial" w:cs="Arial"/>
                <w:color w:val="000000"/>
                <w:lang w:val="es-US" w:eastAsia="sr-Latn-CS"/>
              </w:rPr>
              <w:t xml:space="preserve"> - asfaltiranje saobraćajnice od Pošte do škole; ulica zelena pijaca - šetalište, ulica Crnogorska i uređenje trotoara i drugo do pripadajućeg iznosa sredstava.</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color w:val="000000"/>
                <w:lang w:val="es-US" w:eastAsia="sr-Latn-CS"/>
              </w:rPr>
              <w:t> </w:t>
            </w:r>
          </w:p>
        </w:tc>
      </w:tr>
      <w:tr w:rsidR="004750FE" w:rsidRPr="004A465E" w:rsidTr="00EA048B">
        <w:trPr>
          <w:trHeight w:val="115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sz w:val="20"/>
                <w:szCs w:val="20"/>
                <w:lang w:val="es-US" w:eastAsia="sr-Latn-CS"/>
              </w:rPr>
            </w:pPr>
            <w:r w:rsidRPr="00CE6689">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b/>
                <w:bCs/>
                <w:color w:val="000000"/>
                <w:lang w:val="es-US" w:eastAsia="sr-Latn-CS"/>
              </w:rPr>
              <w:t>MZ „Ostros</w:t>
            </w:r>
            <w:proofErr w:type="gramStart"/>
            <w:r w:rsidRPr="00CE6689">
              <w:rPr>
                <w:rFonts w:ascii="Arial" w:hAnsi="Arial" w:cs="Arial"/>
                <w:b/>
                <w:bCs/>
                <w:color w:val="000000"/>
                <w:lang w:val="es-US" w:eastAsia="sr-Latn-CS"/>
              </w:rPr>
              <w:t>“</w:t>
            </w:r>
            <w:r w:rsidRPr="00CE6689">
              <w:rPr>
                <w:rFonts w:ascii="Arial" w:hAnsi="Arial" w:cs="Arial"/>
                <w:color w:val="000000"/>
                <w:lang w:val="es-US" w:eastAsia="sr-Latn-CS"/>
              </w:rPr>
              <w:t xml:space="preserve"> -</w:t>
            </w:r>
            <w:proofErr w:type="gramEnd"/>
            <w:r w:rsidRPr="00CE6689">
              <w:rPr>
                <w:rFonts w:ascii="Arial" w:hAnsi="Arial" w:cs="Arial"/>
                <w:color w:val="000000"/>
                <w:lang w:val="es-US" w:eastAsia="sr-Latn-CS"/>
              </w:rPr>
              <w:t xml:space="preserve"> asfaltiranje puteva i putnih pravaca (zaseok Kanaćevići), sanacija udarnih rupa na lokalnim putevima zaseok Runje, Bibovići i drugi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color w:val="000000"/>
                <w:lang w:val="es-US" w:eastAsia="sr-Latn-CS"/>
              </w:rPr>
              <w:t> </w:t>
            </w:r>
          </w:p>
        </w:tc>
      </w:tr>
      <w:tr w:rsidR="004750FE" w:rsidRPr="004A465E" w:rsidTr="00EA048B">
        <w:trPr>
          <w:trHeight w:val="144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sz w:val="20"/>
                <w:szCs w:val="20"/>
                <w:lang w:val="es-US" w:eastAsia="sr-Latn-CS"/>
              </w:rPr>
            </w:pPr>
            <w:r w:rsidRPr="00CE6689">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b/>
                <w:bCs/>
                <w:color w:val="000000"/>
                <w:lang w:val="es-US" w:eastAsia="sr-Latn-CS"/>
              </w:rPr>
              <w:t>MZ „Šestani</w:t>
            </w:r>
            <w:proofErr w:type="gramStart"/>
            <w:r w:rsidRPr="00CE6689">
              <w:rPr>
                <w:rFonts w:ascii="Arial" w:hAnsi="Arial" w:cs="Arial"/>
                <w:b/>
                <w:bCs/>
                <w:color w:val="000000"/>
                <w:lang w:val="es-US" w:eastAsia="sr-Latn-CS"/>
              </w:rPr>
              <w:t>“</w:t>
            </w:r>
            <w:r w:rsidRPr="00CE6689">
              <w:rPr>
                <w:rFonts w:ascii="Arial" w:hAnsi="Arial" w:cs="Arial"/>
                <w:color w:val="000000"/>
                <w:lang w:val="es-US" w:eastAsia="sr-Latn-CS"/>
              </w:rPr>
              <w:t xml:space="preserve"> -</w:t>
            </w:r>
            <w:proofErr w:type="gramEnd"/>
            <w:r w:rsidRPr="00CE6689">
              <w:rPr>
                <w:rFonts w:ascii="Arial" w:hAnsi="Arial" w:cs="Arial"/>
                <w:color w:val="000000"/>
                <w:lang w:val="es-US" w:eastAsia="sr-Latn-CS"/>
              </w:rPr>
              <w:t xml:space="preserve"> probijanje puta za Muratoviće u Donje Muriće; put Pinčići - Rjepsi; sanacija udarnih rupa na lokalnim putevima (Donji Murići, Livari i Besi); asfaltiranje saobraćajnica po programu prioriteta MZ i drugo do pripad. </w:t>
            </w:r>
            <w:proofErr w:type="gramStart"/>
            <w:r w:rsidRPr="00CE6689">
              <w:rPr>
                <w:rFonts w:ascii="Arial" w:hAnsi="Arial" w:cs="Arial"/>
                <w:color w:val="000000"/>
                <w:lang w:val="es-US" w:eastAsia="sr-Latn-CS"/>
              </w:rPr>
              <w:t>iznosa</w:t>
            </w:r>
            <w:proofErr w:type="gramEnd"/>
            <w:r w:rsidRPr="00CE6689">
              <w:rPr>
                <w:rFonts w:ascii="Arial" w:hAnsi="Arial" w:cs="Arial"/>
                <w:color w:val="000000"/>
                <w:lang w:val="es-US" w:eastAsia="sr-Latn-CS"/>
              </w:rPr>
              <w:t xml:space="preserve">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color w:val="000000"/>
                <w:lang w:val="es-US" w:eastAsia="sr-Latn-CS"/>
              </w:rPr>
              <w:t> </w:t>
            </w:r>
          </w:p>
        </w:tc>
      </w:tr>
      <w:tr w:rsidR="004750FE" w:rsidRPr="004A465E" w:rsidTr="00EA048B">
        <w:trPr>
          <w:trHeight w:val="91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sz w:val="20"/>
                <w:szCs w:val="20"/>
                <w:lang w:val="es-US" w:eastAsia="sr-Latn-CS"/>
              </w:rPr>
            </w:pPr>
            <w:r w:rsidRPr="00CE6689">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b/>
                <w:bCs/>
                <w:color w:val="000000"/>
                <w:lang w:val="es-US" w:eastAsia="sr-Latn-CS"/>
              </w:rPr>
              <w:t>MZ „Stari Bar</w:t>
            </w:r>
            <w:proofErr w:type="gramStart"/>
            <w:r w:rsidRPr="00CE6689">
              <w:rPr>
                <w:rFonts w:ascii="Arial" w:hAnsi="Arial" w:cs="Arial"/>
                <w:b/>
                <w:bCs/>
                <w:color w:val="000000"/>
                <w:lang w:val="es-US" w:eastAsia="sr-Latn-CS"/>
              </w:rPr>
              <w:t>“</w:t>
            </w:r>
            <w:r w:rsidRPr="00CE6689">
              <w:rPr>
                <w:rFonts w:ascii="Arial" w:hAnsi="Arial" w:cs="Arial"/>
                <w:color w:val="000000"/>
                <w:lang w:val="es-US" w:eastAsia="sr-Latn-CS"/>
              </w:rPr>
              <w:t xml:space="preserve"> -</w:t>
            </w:r>
            <w:proofErr w:type="gramEnd"/>
            <w:r w:rsidRPr="00CE6689">
              <w:rPr>
                <w:rFonts w:ascii="Arial" w:hAnsi="Arial" w:cs="Arial"/>
                <w:color w:val="000000"/>
                <w:lang w:val="es-US" w:eastAsia="sr-Latn-CS"/>
              </w:rPr>
              <w:t xml:space="preserve"> sanacija udarnih rupa na saobraćajnicama; asfaltiranje po programu prioriteta MZ i drugo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color w:val="000000"/>
                <w:lang w:val="es-US" w:eastAsia="sr-Latn-CS"/>
              </w:rPr>
              <w:t> </w:t>
            </w:r>
          </w:p>
        </w:tc>
      </w:tr>
      <w:tr w:rsidR="004750FE" w:rsidRPr="004A465E" w:rsidTr="00EA048B">
        <w:trPr>
          <w:trHeight w:val="130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sz w:val="20"/>
                <w:szCs w:val="20"/>
                <w:lang w:val="es-US" w:eastAsia="sr-Latn-CS"/>
              </w:rPr>
            </w:pPr>
            <w:r w:rsidRPr="00CE6689">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b/>
                <w:bCs/>
                <w:color w:val="000000"/>
                <w:lang w:val="es-US" w:eastAsia="sr-Latn-CS"/>
              </w:rPr>
              <w:t>MZ „Crmnica</w:t>
            </w:r>
            <w:proofErr w:type="gramStart"/>
            <w:r w:rsidRPr="00CE6689">
              <w:rPr>
                <w:rFonts w:ascii="Arial" w:hAnsi="Arial" w:cs="Arial"/>
                <w:b/>
                <w:bCs/>
                <w:color w:val="000000"/>
                <w:lang w:val="es-US" w:eastAsia="sr-Latn-CS"/>
              </w:rPr>
              <w:t>“</w:t>
            </w:r>
            <w:r w:rsidRPr="00CE6689">
              <w:rPr>
                <w:rFonts w:ascii="Arial" w:hAnsi="Arial" w:cs="Arial"/>
                <w:color w:val="000000"/>
                <w:lang w:val="es-US" w:eastAsia="sr-Latn-CS"/>
              </w:rPr>
              <w:t xml:space="preserve"> -</w:t>
            </w:r>
            <w:proofErr w:type="gramEnd"/>
            <w:r w:rsidRPr="00CE6689">
              <w:rPr>
                <w:rFonts w:ascii="Arial" w:hAnsi="Arial" w:cs="Arial"/>
                <w:color w:val="000000"/>
                <w:lang w:val="es-US" w:eastAsia="sr-Latn-CS"/>
              </w:rPr>
              <w:t xml:space="preserve"> asfaltiranje puteva Brčeli-Podgor, D. Seoca-Pristan (Skadarsko jezero); sanacija udarnih rupa na lok. </w:t>
            </w:r>
            <w:proofErr w:type="gramStart"/>
            <w:r w:rsidRPr="00CE6689">
              <w:rPr>
                <w:rFonts w:ascii="Arial" w:hAnsi="Arial" w:cs="Arial"/>
                <w:color w:val="000000"/>
                <w:lang w:val="es-US" w:eastAsia="sr-Latn-CS"/>
              </w:rPr>
              <w:t>putevima</w:t>
            </w:r>
            <w:proofErr w:type="gramEnd"/>
            <w:r w:rsidRPr="00CE6689">
              <w:rPr>
                <w:rFonts w:ascii="Arial" w:hAnsi="Arial" w:cs="Arial"/>
                <w:color w:val="000000"/>
                <w:lang w:val="es-US" w:eastAsia="sr-Latn-CS"/>
              </w:rPr>
              <w:t xml:space="preserve"> u svim selima po programu prioriteta MZ i drugo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b/>
                <w:bCs/>
                <w:color w:val="000000"/>
                <w:lang w:val="es-US" w:eastAsia="sr-Latn-CS"/>
              </w:rPr>
            </w:pPr>
            <w:r w:rsidRPr="00CE6689">
              <w:rPr>
                <w:rFonts w:ascii="Arial" w:hAnsi="Arial" w:cs="Arial"/>
                <w:b/>
                <w:bCs/>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color w:val="000000"/>
                <w:lang w:val="es-US" w:eastAsia="sr-Latn-CS"/>
              </w:rPr>
              <w:t> </w:t>
            </w:r>
          </w:p>
        </w:tc>
      </w:tr>
      <w:tr w:rsidR="004750FE" w:rsidRPr="004A465E" w:rsidTr="00EA048B">
        <w:trPr>
          <w:trHeight w:val="1804"/>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sz w:val="20"/>
                <w:szCs w:val="20"/>
                <w:lang w:val="es-US" w:eastAsia="sr-Latn-CS"/>
              </w:rPr>
            </w:pPr>
            <w:r w:rsidRPr="00CE6689">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b/>
                <w:bCs/>
                <w:color w:val="000000"/>
                <w:lang w:val="es-US" w:eastAsia="sr-Latn-CS"/>
              </w:rPr>
              <w:t>MZ „Mrkojevići</w:t>
            </w:r>
            <w:proofErr w:type="gramStart"/>
            <w:r w:rsidRPr="00CE6689">
              <w:rPr>
                <w:rFonts w:ascii="Arial" w:hAnsi="Arial" w:cs="Arial"/>
                <w:b/>
                <w:bCs/>
                <w:color w:val="000000"/>
                <w:lang w:val="es-US" w:eastAsia="sr-Latn-CS"/>
              </w:rPr>
              <w:t>“</w:t>
            </w:r>
            <w:r w:rsidRPr="00CE6689">
              <w:rPr>
                <w:rFonts w:ascii="Arial" w:hAnsi="Arial" w:cs="Arial"/>
                <w:color w:val="000000"/>
                <w:lang w:val="es-US" w:eastAsia="sr-Latn-CS"/>
              </w:rPr>
              <w:t xml:space="preserve"> -</w:t>
            </w:r>
            <w:proofErr w:type="gramEnd"/>
            <w:r w:rsidRPr="00CE6689">
              <w:rPr>
                <w:rFonts w:ascii="Arial" w:hAnsi="Arial" w:cs="Arial"/>
                <w:color w:val="000000"/>
                <w:lang w:val="es-US" w:eastAsia="sr-Latn-CS"/>
              </w:rPr>
              <w:t xml:space="preserve"> asfaltiranje ulica i putnih pravaca po prioritetima MZ; sanacija udarnih rupa na putevima i saobraćajnicama, asfaltiranje ulice u Dobroj Vodi (od garnizona do škole), asfaltiranje ulice u Veljem Selu (džamija - Vrbica) sanacija potp.zidova u naselju Kunje (ispod Tombareviča) i drugo do pripadajućeg iznosa sredstava.</w:t>
            </w:r>
          </w:p>
        </w:tc>
        <w:tc>
          <w:tcPr>
            <w:tcW w:w="1616"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jc w:val="right"/>
              <w:rPr>
                <w:rFonts w:ascii="Arial" w:hAnsi="Arial" w:cs="Arial"/>
                <w:color w:val="000000"/>
                <w:lang w:val="es-US" w:eastAsia="sr-Latn-CS"/>
              </w:rPr>
            </w:pPr>
            <w:r w:rsidRPr="00CE6689">
              <w:rPr>
                <w:rFonts w:ascii="Arial" w:hAnsi="Arial" w:cs="Arial"/>
                <w:color w:val="000000"/>
                <w:lang w:val="es-US" w:eastAsia="sr-Latn-CS"/>
              </w:rPr>
              <w:t> </w:t>
            </w:r>
          </w:p>
        </w:tc>
        <w:tc>
          <w:tcPr>
            <w:tcW w:w="1437" w:type="dxa"/>
            <w:tcBorders>
              <w:top w:val="nil"/>
              <w:left w:val="nil"/>
              <w:bottom w:val="single" w:sz="4" w:space="0" w:color="auto"/>
              <w:right w:val="single" w:sz="4" w:space="0" w:color="auto"/>
            </w:tcBorders>
            <w:shd w:val="clear" w:color="auto" w:fill="auto"/>
            <w:vAlign w:val="center"/>
            <w:hideMark/>
          </w:tcPr>
          <w:p w:rsidR="004750FE" w:rsidRPr="00CE6689" w:rsidRDefault="004750FE" w:rsidP="003E4EF7">
            <w:pPr>
              <w:spacing w:after="0"/>
              <w:jc w:val="right"/>
              <w:rPr>
                <w:rFonts w:ascii="Arial" w:hAnsi="Arial" w:cs="Arial"/>
                <w:color w:val="000000"/>
                <w:lang w:val="es-US" w:eastAsia="sr-Latn-CS"/>
              </w:rPr>
            </w:pPr>
            <w:r w:rsidRPr="00CE6689">
              <w:rPr>
                <w:rFonts w:ascii="Arial" w:hAnsi="Arial" w:cs="Arial"/>
                <w:color w:val="000000"/>
                <w:lang w:val="es-US"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CE6689" w:rsidRDefault="004750FE" w:rsidP="003E4EF7">
            <w:pPr>
              <w:spacing w:after="0"/>
              <w:rPr>
                <w:rFonts w:ascii="Arial" w:hAnsi="Arial" w:cs="Arial"/>
                <w:color w:val="000000"/>
                <w:lang w:val="es-US" w:eastAsia="sr-Latn-CS"/>
              </w:rPr>
            </w:pPr>
            <w:r w:rsidRPr="00CE6689">
              <w:rPr>
                <w:rFonts w:ascii="Arial" w:hAnsi="Arial" w:cs="Arial"/>
                <w:color w:val="000000"/>
                <w:lang w:val="es-US" w:eastAsia="sr-Latn-CS"/>
              </w:rPr>
              <w:t> </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CE6689" w:rsidRDefault="004750FE" w:rsidP="003E4EF7">
            <w:pPr>
              <w:spacing w:after="0"/>
              <w:rPr>
                <w:rFonts w:ascii="Arial" w:hAnsi="Arial" w:cs="Arial"/>
                <w:color w:val="000000"/>
                <w:sz w:val="20"/>
                <w:szCs w:val="20"/>
                <w:lang w:val="es-US" w:eastAsia="sr-Latn-CS"/>
              </w:rPr>
            </w:pPr>
            <w:r w:rsidRPr="00CE6689">
              <w:rPr>
                <w:rFonts w:ascii="Arial" w:hAnsi="Arial" w:cs="Arial"/>
                <w:color w:val="000000"/>
                <w:sz w:val="20"/>
                <w:szCs w:val="20"/>
                <w:lang w:val="es-US"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Geodetska snimanja i nadzor</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 </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 </w:t>
            </w:r>
          </w:p>
        </w:tc>
      </w:tr>
      <w:tr w:rsidR="004750FE" w:rsidRPr="0097306C" w:rsidTr="00EA048B">
        <w:trPr>
          <w:trHeight w:val="600"/>
          <w:jc w:val="center"/>
        </w:trPr>
        <w:tc>
          <w:tcPr>
            <w:tcW w:w="1085" w:type="dxa"/>
            <w:tcBorders>
              <w:top w:val="nil"/>
              <w:left w:val="single" w:sz="4" w:space="0" w:color="auto"/>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441-9</w:t>
            </w:r>
          </w:p>
        </w:tc>
        <w:tc>
          <w:tcPr>
            <w:tcW w:w="5039" w:type="dxa"/>
            <w:tcBorders>
              <w:top w:val="nil"/>
              <w:left w:val="nil"/>
              <w:bottom w:val="single" w:sz="4" w:space="0" w:color="auto"/>
              <w:right w:val="single" w:sz="4" w:space="0" w:color="auto"/>
            </w:tcBorders>
            <w:shd w:val="clear" w:color="000000" w:fill="DBE5F1"/>
            <w:vAlign w:val="center"/>
            <w:hideMark/>
          </w:tcPr>
          <w:p w:rsidR="004750FE" w:rsidRPr="00EA048B" w:rsidRDefault="004750FE" w:rsidP="003E4EF7">
            <w:pPr>
              <w:spacing w:after="0"/>
              <w:rPr>
                <w:rFonts w:ascii="Arial" w:hAnsi="Arial" w:cs="Arial"/>
                <w:b/>
                <w:bCs/>
                <w:color w:val="000000"/>
                <w:lang w:val="es-US" w:eastAsia="sr-Latn-CS"/>
              </w:rPr>
            </w:pPr>
            <w:r w:rsidRPr="00EA048B">
              <w:rPr>
                <w:rFonts w:ascii="Arial" w:hAnsi="Arial" w:cs="Arial"/>
                <w:b/>
                <w:bCs/>
                <w:color w:val="000000"/>
                <w:lang w:val="es-US" w:eastAsia="sr-Latn-CS"/>
              </w:rPr>
              <w:t>Ostali kapitalni izdaci - troškovi finansiranja IPA i EU projekata</w:t>
            </w:r>
          </w:p>
        </w:tc>
        <w:tc>
          <w:tcPr>
            <w:tcW w:w="1616"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1437" w:type="dxa"/>
            <w:tcBorders>
              <w:top w:val="nil"/>
              <w:left w:val="nil"/>
              <w:bottom w:val="single" w:sz="4" w:space="0" w:color="auto"/>
              <w:right w:val="single" w:sz="4" w:space="0" w:color="auto"/>
            </w:tcBorders>
            <w:shd w:val="clear" w:color="000000" w:fill="DBE5F1"/>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210.000,00</w:t>
            </w:r>
          </w:p>
        </w:tc>
        <w:tc>
          <w:tcPr>
            <w:tcW w:w="813" w:type="dxa"/>
            <w:tcBorders>
              <w:top w:val="nil"/>
              <w:left w:val="nil"/>
              <w:bottom w:val="single" w:sz="4" w:space="0" w:color="auto"/>
              <w:right w:val="single" w:sz="4" w:space="0" w:color="auto"/>
            </w:tcBorders>
            <w:shd w:val="clear" w:color="000000" w:fill="DBE5F1"/>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100,00</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sz w:val="20"/>
                <w:szCs w:val="20"/>
                <w:lang w:eastAsia="sr-Latn-CS"/>
              </w:rPr>
            </w:pPr>
            <w:r w:rsidRPr="0097306C">
              <w:rPr>
                <w:rFonts w:ascii="Arial" w:hAnsi="Arial" w:cs="Arial"/>
                <w:b/>
                <w:bCs/>
                <w:color w:val="000000"/>
                <w:sz w:val="20"/>
                <w:szCs w:val="20"/>
                <w:lang w:eastAsia="sr-Latn-CS"/>
              </w:rPr>
              <w:t>461</w:t>
            </w:r>
          </w:p>
        </w:tc>
        <w:tc>
          <w:tcPr>
            <w:tcW w:w="5039"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rPr>
                <w:rFonts w:ascii="Arial" w:hAnsi="Arial" w:cs="Arial"/>
                <w:b/>
                <w:bCs/>
                <w:color w:val="000000"/>
                <w:lang w:eastAsia="sr-Latn-CS"/>
              </w:rPr>
            </w:pPr>
            <w:r w:rsidRPr="0097306C">
              <w:rPr>
                <w:rFonts w:ascii="Arial" w:hAnsi="Arial" w:cs="Arial"/>
                <w:b/>
                <w:bCs/>
                <w:color w:val="000000"/>
                <w:lang w:eastAsia="sr-Latn-CS"/>
              </w:rPr>
              <w:t>Otplata duga</w:t>
            </w:r>
          </w:p>
        </w:tc>
        <w:tc>
          <w:tcPr>
            <w:tcW w:w="1616"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300.000,00</w:t>
            </w:r>
          </w:p>
        </w:tc>
        <w:tc>
          <w:tcPr>
            <w:tcW w:w="1437"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810.000,00</w:t>
            </w:r>
          </w:p>
        </w:tc>
        <w:tc>
          <w:tcPr>
            <w:tcW w:w="813" w:type="dxa"/>
            <w:tcBorders>
              <w:top w:val="nil"/>
              <w:left w:val="nil"/>
              <w:bottom w:val="single" w:sz="4" w:space="0" w:color="auto"/>
              <w:right w:val="single" w:sz="4" w:space="0" w:color="auto"/>
            </w:tcBorders>
            <w:shd w:val="clear" w:color="000000" w:fill="8DB4E3"/>
            <w:noWrap/>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270,00</w:t>
            </w:r>
          </w:p>
        </w:tc>
      </w:tr>
      <w:tr w:rsidR="004750FE" w:rsidRPr="0097306C" w:rsidTr="00EA048B">
        <w:trPr>
          <w:trHeight w:val="300"/>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rPr>
                <w:rFonts w:ascii="Arial" w:hAnsi="Arial" w:cs="Arial"/>
                <w:color w:val="000000"/>
                <w:lang w:eastAsia="sr-Latn-CS"/>
              </w:rPr>
            </w:pPr>
            <w:r w:rsidRPr="0097306C">
              <w:rPr>
                <w:rFonts w:ascii="Arial" w:hAnsi="Arial" w:cs="Arial"/>
                <w:color w:val="000000"/>
                <w:lang w:eastAsia="sr-Latn-CS"/>
              </w:rPr>
              <w:t>Otplata kredita rezidentima - kredit KfW banka</w:t>
            </w:r>
          </w:p>
        </w:tc>
        <w:tc>
          <w:tcPr>
            <w:tcW w:w="1616"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300.000,00</w:t>
            </w:r>
          </w:p>
        </w:tc>
        <w:tc>
          <w:tcPr>
            <w:tcW w:w="1437" w:type="dxa"/>
            <w:tcBorders>
              <w:top w:val="nil"/>
              <w:left w:val="nil"/>
              <w:bottom w:val="single" w:sz="4" w:space="0" w:color="auto"/>
              <w:right w:val="single" w:sz="4" w:space="0" w:color="auto"/>
            </w:tcBorders>
            <w:shd w:val="clear" w:color="auto" w:fill="auto"/>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810.000,00</w:t>
            </w:r>
          </w:p>
        </w:tc>
        <w:tc>
          <w:tcPr>
            <w:tcW w:w="813" w:type="dxa"/>
            <w:tcBorders>
              <w:top w:val="nil"/>
              <w:left w:val="nil"/>
              <w:bottom w:val="single" w:sz="4" w:space="0" w:color="auto"/>
              <w:right w:val="single" w:sz="4" w:space="0" w:color="auto"/>
            </w:tcBorders>
            <w:shd w:val="clear" w:color="auto" w:fill="auto"/>
            <w:noWrap/>
            <w:vAlign w:val="center"/>
            <w:hideMark/>
          </w:tcPr>
          <w:p w:rsidR="004750FE" w:rsidRPr="0097306C" w:rsidRDefault="004750FE" w:rsidP="003E4EF7">
            <w:pPr>
              <w:spacing w:after="0"/>
              <w:jc w:val="right"/>
              <w:rPr>
                <w:rFonts w:ascii="Arial" w:hAnsi="Arial" w:cs="Arial"/>
                <w:color w:val="000000"/>
                <w:lang w:eastAsia="sr-Latn-CS"/>
              </w:rPr>
            </w:pPr>
            <w:r w:rsidRPr="0097306C">
              <w:rPr>
                <w:rFonts w:ascii="Arial" w:hAnsi="Arial" w:cs="Arial"/>
                <w:color w:val="000000"/>
                <w:lang w:eastAsia="sr-Latn-CS"/>
              </w:rPr>
              <w:t>270,00</w:t>
            </w:r>
          </w:p>
        </w:tc>
      </w:tr>
      <w:tr w:rsidR="004750FE" w:rsidRPr="0097306C" w:rsidTr="00EA048B">
        <w:trPr>
          <w:trHeight w:val="480"/>
          <w:jc w:val="center"/>
        </w:trPr>
        <w:tc>
          <w:tcPr>
            <w:tcW w:w="1085" w:type="dxa"/>
            <w:tcBorders>
              <w:top w:val="nil"/>
              <w:left w:val="single" w:sz="4" w:space="0" w:color="auto"/>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color w:val="000000"/>
                <w:sz w:val="20"/>
                <w:szCs w:val="20"/>
                <w:lang w:eastAsia="sr-Latn-CS"/>
              </w:rPr>
            </w:pPr>
            <w:r w:rsidRPr="0097306C">
              <w:rPr>
                <w:rFonts w:ascii="Arial" w:hAnsi="Arial" w:cs="Arial"/>
                <w:color w:val="000000"/>
                <w:sz w:val="20"/>
                <w:szCs w:val="20"/>
                <w:lang w:eastAsia="sr-Latn-CS"/>
              </w:rPr>
              <w:t> </w:t>
            </w:r>
          </w:p>
        </w:tc>
        <w:tc>
          <w:tcPr>
            <w:tcW w:w="5039"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center"/>
              <w:rPr>
                <w:rFonts w:ascii="Arial" w:hAnsi="Arial" w:cs="Arial"/>
                <w:b/>
                <w:bCs/>
                <w:color w:val="000000"/>
                <w:lang w:eastAsia="sr-Latn-CS"/>
              </w:rPr>
            </w:pPr>
            <w:r w:rsidRPr="0097306C">
              <w:rPr>
                <w:rFonts w:ascii="Arial" w:hAnsi="Arial" w:cs="Arial"/>
                <w:b/>
                <w:bCs/>
                <w:color w:val="000000"/>
                <w:lang w:eastAsia="sr-Latn-CS"/>
              </w:rPr>
              <w:t>UKUPNO KAPITALNI BUDŽET:</w:t>
            </w:r>
          </w:p>
        </w:tc>
        <w:tc>
          <w:tcPr>
            <w:tcW w:w="1616"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8.110.000,00</w:t>
            </w:r>
          </w:p>
        </w:tc>
        <w:tc>
          <w:tcPr>
            <w:tcW w:w="1437"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9.082.000,00</w:t>
            </w:r>
          </w:p>
        </w:tc>
        <w:tc>
          <w:tcPr>
            <w:tcW w:w="813" w:type="dxa"/>
            <w:tcBorders>
              <w:top w:val="nil"/>
              <w:left w:val="nil"/>
              <w:bottom w:val="single" w:sz="4" w:space="0" w:color="auto"/>
              <w:right w:val="single" w:sz="4" w:space="0" w:color="auto"/>
            </w:tcBorders>
            <w:shd w:val="clear" w:color="000000" w:fill="8DB4E3"/>
            <w:vAlign w:val="center"/>
            <w:hideMark/>
          </w:tcPr>
          <w:p w:rsidR="004750FE" w:rsidRPr="0097306C" w:rsidRDefault="004750FE" w:rsidP="003E4EF7">
            <w:pPr>
              <w:spacing w:after="0"/>
              <w:jc w:val="right"/>
              <w:rPr>
                <w:rFonts w:ascii="Arial" w:hAnsi="Arial" w:cs="Arial"/>
                <w:b/>
                <w:bCs/>
                <w:color w:val="000000"/>
                <w:lang w:eastAsia="sr-Latn-CS"/>
              </w:rPr>
            </w:pPr>
            <w:r w:rsidRPr="0097306C">
              <w:rPr>
                <w:rFonts w:ascii="Arial" w:hAnsi="Arial" w:cs="Arial"/>
                <w:b/>
                <w:bCs/>
                <w:color w:val="000000"/>
                <w:lang w:eastAsia="sr-Latn-CS"/>
              </w:rPr>
              <w:t>111,99</w:t>
            </w:r>
          </w:p>
        </w:tc>
      </w:tr>
    </w:tbl>
    <w:p w:rsidR="004750FE" w:rsidRPr="0097306C" w:rsidRDefault="004750FE" w:rsidP="003E4EF7">
      <w:pPr>
        <w:tabs>
          <w:tab w:val="left" w:pos="3780"/>
          <w:tab w:val="left" w:pos="6915"/>
        </w:tabs>
        <w:spacing w:after="0"/>
        <w:rPr>
          <w:rFonts w:ascii="Arial" w:hAnsi="Arial" w:cs="Arial"/>
          <w:b/>
        </w:rPr>
      </w:pPr>
      <w:r w:rsidRPr="0097306C">
        <w:rPr>
          <w:rFonts w:ascii="Arial" w:hAnsi="Arial" w:cs="Arial"/>
          <w:b/>
        </w:rPr>
        <w:tab/>
      </w:r>
    </w:p>
    <w:p w:rsidR="004750FE" w:rsidRPr="0097306C" w:rsidRDefault="004750FE" w:rsidP="00D427C7">
      <w:pPr>
        <w:tabs>
          <w:tab w:val="left" w:pos="3780"/>
          <w:tab w:val="left" w:pos="6915"/>
        </w:tabs>
        <w:rPr>
          <w:rFonts w:ascii="Arial" w:hAnsi="Arial" w:cs="Arial"/>
          <w:b/>
        </w:rPr>
      </w:pPr>
    </w:p>
    <w:p w:rsidR="004750FE" w:rsidRPr="00EA048B" w:rsidRDefault="004750FE" w:rsidP="004750FE">
      <w:pPr>
        <w:tabs>
          <w:tab w:val="left" w:pos="3780"/>
          <w:tab w:val="left" w:pos="6915"/>
        </w:tabs>
        <w:jc w:val="right"/>
        <w:rPr>
          <w:rFonts w:ascii="Arial" w:hAnsi="Arial" w:cs="Arial"/>
          <w:b/>
          <w:lang w:val="es-US"/>
        </w:rPr>
      </w:pPr>
      <w:r w:rsidRPr="00EA048B">
        <w:rPr>
          <w:rFonts w:ascii="Arial" w:hAnsi="Arial" w:cs="Arial"/>
          <w:b/>
          <w:lang w:val="es-US"/>
        </w:rPr>
        <w:t>SEKRETARIJAT ZA IMOVINU, ZASTUPANJE I INVESTICIJE</w:t>
      </w:r>
    </w:p>
    <w:p w:rsidR="004750FE" w:rsidRPr="00EA048B" w:rsidRDefault="004750FE" w:rsidP="00951E57">
      <w:pPr>
        <w:spacing w:after="0"/>
        <w:jc w:val="center"/>
        <w:rPr>
          <w:lang w:val="es-US"/>
        </w:rPr>
      </w:pPr>
    </w:p>
    <w:sectPr w:rsidR="004750FE" w:rsidRPr="00EA048B" w:rsidSect="00720E3D">
      <w:pgSz w:w="12240" w:h="15840"/>
      <w:pgMar w:top="426" w:right="1325"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E6A"/>
    <w:multiLevelType w:val="hybridMultilevel"/>
    <w:tmpl w:val="EAE020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65391D"/>
    <w:multiLevelType w:val="hybridMultilevel"/>
    <w:tmpl w:val="8B3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F7583"/>
    <w:multiLevelType w:val="hybridMultilevel"/>
    <w:tmpl w:val="D7A8EDC2"/>
    <w:lvl w:ilvl="0" w:tplc="E0F80F7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4B3437"/>
    <w:multiLevelType w:val="hybridMultilevel"/>
    <w:tmpl w:val="AECA3122"/>
    <w:lvl w:ilvl="0" w:tplc="566E101E">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4">
    <w:nsid w:val="452F7234"/>
    <w:multiLevelType w:val="hybridMultilevel"/>
    <w:tmpl w:val="1F1485AA"/>
    <w:lvl w:ilvl="0" w:tplc="E0F80F7A">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62D6559"/>
    <w:multiLevelType w:val="hybridMultilevel"/>
    <w:tmpl w:val="67582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A70E6"/>
    <w:multiLevelType w:val="hybridMultilevel"/>
    <w:tmpl w:val="79588E1E"/>
    <w:lvl w:ilvl="0" w:tplc="A8EE3316">
      <w:start w:val="1"/>
      <w:numFmt w:val="decimal"/>
      <w:lvlText w:val="%1."/>
      <w:lvlJc w:val="left"/>
      <w:pPr>
        <w:tabs>
          <w:tab w:val="num" w:pos="720"/>
        </w:tabs>
        <w:ind w:left="720" w:hanging="360"/>
      </w:pPr>
      <w:rPr>
        <w:b/>
        <w:sz w:val="22"/>
        <w:szCs w:val="22"/>
      </w:rPr>
    </w:lvl>
    <w:lvl w:ilvl="1" w:tplc="081A0001">
      <w:start w:val="1"/>
      <w:numFmt w:val="bullet"/>
      <w:lvlText w:val=""/>
      <w:lvlJc w:val="left"/>
      <w:pPr>
        <w:tabs>
          <w:tab w:val="num" w:pos="1440"/>
        </w:tabs>
        <w:ind w:left="1440" w:hanging="360"/>
      </w:pPr>
      <w:rPr>
        <w:rFonts w:ascii="Symbol" w:hAnsi="Symbol" w:hint="default"/>
        <w:b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71B741C0"/>
    <w:multiLevelType w:val="hybridMultilevel"/>
    <w:tmpl w:val="65C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E49F9"/>
    <w:multiLevelType w:val="hybridMultilevel"/>
    <w:tmpl w:val="3F7AB46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1"/>
  </w:num>
  <w:num w:numId="4">
    <w:abstractNumId w:val="5"/>
  </w:num>
  <w:num w:numId="5">
    <w:abstractNumId w:val="7"/>
  </w:num>
  <w:num w:numId="6">
    <w:abstractNumId w:val="4"/>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rsids>
    <w:rsidRoot w:val="007A7DE8"/>
    <w:rsid w:val="00040CBA"/>
    <w:rsid w:val="0006372F"/>
    <w:rsid w:val="0006584E"/>
    <w:rsid w:val="00080A58"/>
    <w:rsid w:val="000A6032"/>
    <w:rsid w:val="000B6F04"/>
    <w:rsid w:val="000C0023"/>
    <w:rsid w:val="000F1395"/>
    <w:rsid w:val="00115C00"/>
    <w:rsid w:val="00122433"/>
    <w:rsid w:val="00125D09"/>
    <w:rsid w:val="0013364F"/>
    <w:rsid w:val="00167532"/>
    <w:rsid w:val="001733DD"/>
    <w:rsid w:val="0017418C"/>
    <w:rsid w:val="001B6A4E"/>
    <w:rsid w:val="001C7342"/>
    <w:rsid w:val="002B2BD7"/>
    <w:rsid w:val="002D5B9D"/>
    <w:rsid w:val="0032041B"/>
    <w:rsid w:val="003632EB"/>
    <w:rsid w:val="003710C7"/>
    <w:rsid w:val="003A4893"/>
    <w:rsid w:val="003D41C1"/>
    <w:rsid w:val="003E4EF7"/>
    <w:rsid w:val="00401032"/>
    <w:rsid w:val="00432A66"/>
    <w:rsid w:val="00456B8B"/>
    <w:rsid w:val="00462F0D"/>
    <w:rsid w:val="004750FE"/>
    <w:rsid w:val="0049555C"/>
    <w:rsid w:val="004A465E"/>
    <w:rsid w:val="004B26AC"/>
    <w:rsid w:val="004C49BB"/>
    <w:rsid w:val="004E6A88"/>
    <w:rsid w:val="00534CEE"/>
    <w:rsid w:val="005476E2"/>
    <w:rsid w:val="00553BFE"/>
    <w:rsid w:val="0055489E"/>
    <w:rsid w:val="005A1FEC"/>
    <w:rsid w:val="005D34D7"/>
    <w:rsid w:val="005D5F57"/>
    <w:rsid w:val="005E21C4"/>
    <w:rsid w:val="005E7D4F"/>
    <w:rsid w:val="006010D0"/>
    <w:rsid w:val="006117B4"/>
    <w:rsid w:val="00616F1B"/>
    <w:rsid w:val="00650355"/>
    <w:rsid w:val="00663CFB"/>
    <w:rsid w:val="00694B7F"/>
    <w:rsid w:val="00696834"/>
    <w:rsid w:val="006D3B55"/>
    <w:rsid w:val="006F40B2"/>
    <w:rsid w:val="00715DEC"/>
    <w:rsid w:val="00720E3D"/>
    <w:rsid w:val="007435E8"/>
    <w:rsid w:val="00755A3D"/>
    <w:rsid w:val="007A7DE8"/>
    <w:rsid w:val="007D7F21"/>
    <w:rsid w:val="007F621B"/>
    <w:rsid w:val="0080348D"/>
    <w:rsid w:val="008103E6"/>
    <w:rsid w:val="0083437D"/>
    <w:rsid w:val="00846C14"/>
    <w:rsid w:val="008670EE"/>
    <w:rsid w:val="00872B45"/>
    <w:rsid w:val="00880AA6"/>
    <w:rsid w:val="00893ECD"/>
    <w:rsid w:val="00905850"/>
    <w:rsid w:val="009149B7"/>
    <w:rsid w:val="00936499"/>
    <w:rsid w:val="00951E57"/>
    <w:rsid w:val="009578AD"/>
    <w:rsid w:val="00973E1C"/>
    <w:rsid w:val="00985F98"/>
    <w:rsid w:val="009C5161"/>
    <w:rsid w:val="009C65EC"/>
    <w:rsid w:val="009D5FDB"/>
    <w:rsid w:val="009E481D"/>
    <w:rsid w:val="009E6C7A"/>
    <w:rsid w:val="009F38B4"/>
    <w:rsid w:val="00A03CE9"/>
    <w:rsid w:val="00A92DCA"/>
    <w:rsid w:val="00A9395C"/>
    <w:rsid w:val="00A94119"/>
    <w:rsid w:val="00AA1B2A"/>
    <w:rsid w:val="00AA394B"/>
    <w:rsid w:val="00AA6921"/>
    <w:rsid w:val="00AB16A6"/>
    <w:rsid w:val="00AB44F0"/>
    <w:rsid w:val="00B01FEF"/>
    <w:rsid w:val="00B126EF"/>
    <w:rsid w:val="00B36690"/>
    <w:rsid w:val="00B72518"/>
    <w:rsid w:val="00B7599E"/>
    <w:rsid w:val="00BA7929"/>
    <w:rsid w:val="00BC2655"/>
    <w:rsid w:val="00C427ED"/>
    <w:rsid w:val="00C71282"/>
    <w:rsid w:val="00C7278F"/>
    <w:rsid w:val="00C91A91"/>
    <w:rsid w:val="00C952F0"/>
    <w:rsid w:val="00C977A1"/>
    <w:rsid w:val="00CA76AE"/>
    <w:rsid w:val="00CE4F95"/>
    <w:rsid w:val="00CE6689"/>
    <w:rsid w:val="00D14D99"/>
    <w:rsid w:val="00D427C7"/>
    <w:rsid w:val="00D834D4"/>
    <w:rsid w:val="00D83C14"/>
    <w:rsid w:val="00DD3EF2"/>
    <w:rsid w:val="00E1115E"/>
    <w:rsid w:val="00E24AEC"/>
    <w:rsid w:val="00E81D6F"/>
    <w:rsid w:val="00E90C4C"/>
    <w:rsid w:val="00EA048B"/>
    <w:rsid w:val="00EB7A6C"/>
    <w:rsid w:val="00EC3D10"/>
    <w:rsid w:val="00EC5357"/>
    <w:rsid w:val="00ED33E0"/>
    <w:rsid w:val="00EF0173"/>
    <w:rsid w:val="00EF55C4"/>
    <w:rsid w:val="00F12848"/>
    <w:rsid w:val="00F132E7"/>
    <w:rsid w:val="00F15F29"/>
    <w:rsid w:val="00F34B17"/>
    <w:rsid w:val="00F565AC"/>
    <w:rsid w:val="00F678E0"/>
    <w:rsid w:val="00FA5147"/>
    <w:rsid w:val="00FC5FCA"/>
    <w:rsid w:val="00FD5B87"/>
    <w:rsid w:val="00FF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FE"/>
  </w:style>
  <w:style w:type="paragraph" w:styleId="Heading2">
    <w:name w:val="heading 2"/>
    <w:basedOn w:val="Normal"/>
    <w:next w:val="Normal"/>
    <w:link w:val="Heading2Char"/>
    <w:qFormat/>
    <w:rsid w:val="007A7DE8"/>
    <w:pPr>
      <w:keepNext/>
      <w:spacing w:after="0" w:line="240" w:lineRule="auto"/>
      <w:jc w:val="center"/>
      <w:outlineLvl w:val="1"/>
    </w:pPr>
    <w:rPr>
      <w:rFonts w:ascii="Times New Roman" w:eastAsia="Times New Roman" w:hAnsi="Times New Roman" w:cs="Times New Roman"/>
      <w:b/>
      <w:bCs/>
      <w:sz w:val="40"/>
      <w:szCs w:val="24"/>
      <w:lang w:val="sl-SI"/>
    </w:rPr>
  </w:style>
  <w:style w:type="paragraph" w:styleId="Heading5">
    <w:name w:val="heading 5"/>
    <w:basedOn w:val="Normal"/>
    <w:next w:val="Normal"/>
    <w:link w:val="Heading5Char"/>
    <w:uiPriority w:val="9"/>
    <w:semiHidden/>
    <w:unhideWhenUsed/>
    <w:qFormat/>
    <w:rsid w:val="00951E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A7DE8"/>
    <w:pPr>
      <w:keepNext/>
      <w:spacing w:after="0" w:line="240" w:lineRule="auto"/>
      <w:jc w:val="center"/>
      <w:outlineLvl w:val="5"/>
    </w:pPr>
    <w:rPr>
      <w:rFonts w:ascii="Times New Roman" w:eastAsia="Times New Roman" w:hAnsi="Times New Roman" w:cs="Times New Roman"/>
      <w:b/>
      <w:sz w:val="28"/>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DE8"/>
    <w:rPr>
      <w:rFonts w:ascii="Times New Roman" w:eastAsia="Times New Roman" w:hAnsi="Times New Roman" w:cs="Times New Roman"/>
      <w:b/>
      <w:bCs/>
      <w:sz w:val="40"/>
      <w:szCs w:val="24"/>
      <w:lang w:val="sl-SI"/>
    </w:rPr>
  </w:style>
  <w:style w:type="character" w:customStyle="1" w:styleId="Heading6Char">
    <w:name w:val="Heading 6 Char"/>
    <w:basedOn w:val="DefaultParagraphFont"/>
    <w:link w:val="Heading6"/>
    <w:rsid w:val="007A7DE8"/>
    <w:rPr>
      <w:rFonts w:ascii="Times New Roman" w:eastAsia="Times New Roman" w:hAnsi="Times New Roman" w:cs="Times New Roman"/>
      <w:b/>
      <w:sz w:val="28"/>
      <w:szCs w:val="20"/>
      <w:lang w:val="sl-SI"/>
    </w:rPr>
  </w:style>
  <w:style w:type="character" w:customStyle="1" w:styleId="Heading5Char">
    <w:name w:val="Heading 5 Char"/>
    <w:basedOn w:val="DefaultParagraphFont"/>
    <w:link w:val="Heading5"/>
    <w:uiPriority w:val="9"/>
    <w:semiHidden/>
    <w:rsid w:val="00951E57"/>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951E5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51E57"/>
    <w:rPr>
      <w:rFonts w:ascii="Times New Roman" w:eastAsia="Times New Roman" w:hAnsi="Times New Roman" w:cs="Times New Roman"/>
      <w:sz w:val="24"/>
      <w:szCs w:val="20"/>
    </w:rPr>
  </w:style>
  <w:style w:type="paragraph" w:styleId="ListParagraph">
    <w:name w:val="List Paragraph"/>
    <w:basedOn w:val="Normal"/>
    <w:uiPriority w:val="34"/>
    <w:qFormat/>
    <w:rsid w:val="00E1115E"/>
    <w:pPr>
      <w:spacing w:after="0" w:line="240" w:lineRule="auto"/>
      <w:ind w:left="720"/>
    </w:pPr>
    <w:rPr>
      <w:rFonts w:ascii="Times New Roman" w:eastAsia="Times New Roman" w:hAnsi="Times New Roman" w:cs="Times New Roman"/>
      <w:noProof/>
      <w:sz w:val="24"/>
      <w:szCs w:val="24"/>
    </w:rPr>
  </w:style>
  <w:style w:type="paragraph" w:customStyle="1" w:styleId="Default">
    <w:name w:val="Default"/>
    <w:rsid w:val="00E1115E"/>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65038605">
      <w:bodyDiv w:val="1"/>
      <w:marLeft w:val="0"/>
      <w:marRight w:val="0"/>
      <w:marTop w:val="0"/>
      <w:marBottom w:val="0"/>
      <w:divBdr>
        <w:top w:val="none" w:sz="0" w:space="0" w:color="auto"/>
        <w:left w:val="none" w:sz="0" w:space="0" w:color="auto"/>
        <w:bottom w:val="none" w:sz="0" w:space="0" w:color="auto"/>
        <w:right w:val="none" w:sz="0" w:space="0" w:color="auto"/>
      </w:divBdr>
    </w:div>
    <w:div w:id="89741812">
      <w:bodyDiv w:val="1"/>
      <w:marLeft w:val="0"/>
      <w:marRight w:val="0"/>
      <w:marTop w:val="0"/>
      <w:marBottom w:val="0"/>
      <w:divBdr>
        <w:top w:val="none" w:sz="0" w:space="0" w:color="auto"/>
        <w:left w:val="none" w:sz="0" w:space="0" w:color="auto"/>
        <w:bottom w:val="none" w:sz="0" w:space="0" w:color="auto"/>
        <w:right w:val="none" w:sz="0" w:space="0" w:color="auto"/>
      </w:divBdr>
    </w:div>
    <w:div w:id="146868782">
      <w:bodyDiv w:val="1"/>
      <w:marLeft w:val="0"/>
      <w:marRight w:val="0"/>
      <w:marTop w:val="0"/>
      <w:marBottom w:val="0"/>
      <w:divBdr>
        <w:top w:val="none" w:sz="0" w:space="0" w:color="auto"/>
        <w:left w:val="none" w:sz="0" w:space="0" w:color="auto"/>
        <w:bottom w:val="none" w:sz="0" w:space="0" w:color="auto"/>
        <w:right w:val="none" w:sz="0" w:space="0" w:color="auto"/>
      </w:divBdr>
    </w:div>
    <w:div w:id="161626931">
      <w:bodyDiv w:val="1"/>
      <w:marLeft w:val="0"/>
      <w:marRight w:val="0"/>
      <w:marTop w:val="0"/>
      <w:marBottom w:val="0"/>
      <w:divBdr>
        <w:top w:val="none" w:sz="0" w:space="0" w:color="auto"/>
        <w:left w:val="none" w:sz="0" w:space="0" w:color="auto"/>
        <w:bottom w:val="none" w:sz="0" w:space="0" w:color="auto"/>
        <w:right w:val="none" w:sz="0" w:space="0" w:color="auto"/>
      </w:divBdr>
    </w:div>
    <w:div w:id="280115611">
      <w:bodyDiv w:val="1"/>
      <w:marLeft w:val="0"/>
      <w:marRight w:val="0"/>
      <w:marTop w:val="0"/>
      <w:marBottom w:val="0"/>
      <w:divBdr>
        <w:top w:val="none" w:sz="0" w:space="0" w:color="auto"/>
        <w:left w:val="none" w:sz="0" w:space="0" w:color="auto"/>
        <w:bottom w:val="none" w:sz="0" w:space="0" w:color="auto"/>
        <w:right w:val="none" w:sz="0" w:space="0" w:color="auto"/>
      </w:divBdr>
    </w:div>
    <w:div w:id="349835594">
      <w:bodyDiv w:val="1"/>
      <w:marLeft w:val="0"/>
      <w:marRight w:val="0"/>
      <w:marTop w:val="0"/>
      <w:marBottom w:val="0"/>
      <w:divBdr>
        <w:top w:val="none" w:sz="0" w:space="0" w:color="auto"/>
        <w:left w:val="none" w:sz="0" w:space="0" w:color="auto"/>
        <w:bottom w:val="none" w:sz="0" w:space="0" w:color="auto"/>
        <w:right w:val="none" w:sz="0" w:space="0" w:color="auto"/>
      </w:divBdr>
    </w:div>
    <w:div w:id="583732682">
      <w:bodyDiv w:val="1"/>
      <w:marLeft w:val="0"/>
      <w:marRight w:val="0"/>
      <w:marTop w:val="0"/>
      <w:marBottom w:val="0"/>
      <w:divBdr>
        <w:top w:val="none" w:sz="0" w:space="0" w:color="auto"/>
        <w:left w:val="none" w:sz="0" w:space="0" w:color="auto"/>
        <w:bottom w:val="none" w:sz="0" w:space="0" w:color="auto"/>
        <w:right w:val="none" w:sz="0" w:space="0" w:color="auto"/>
      </w:divBdr>
    </w:div>
    <w:div w:id="585267837">
      <w:bodyDiv w:val="1"/>
      <w:marLeft w:val="0"/>
      <w:marRight w:val="0"/>
      <w:marTop w:val="0"/>
      <w:marBottom w:val="0"/>
      <w:divBdr>
        <w:top w:val="none" w:sz="0" w:space="0" w:color="auto"/>
        <w:left w:val="none" w:sz="0" w:space="0" w:color="auto"/>
        <w:bottom w:val="none" w:sz="0" w:space="0" w:color="auto"/>
        <w:right w:val="none" w:sz="0" w:space="0" w:color="auto"/>
      </w:divBdr>
    </w:div>
    <w:div w:id="604581040">
      <w:bodyDiv w:val="1"/>
      <w:marLeft w:val="0"/>
      <w:marRight w:val="0"/>
      <w:marTop w:val="0"/>
      <w:marBottom w:val="0"/>
      <w:divBdr>
        <w:top w:val="none" w:sz="0" w:space="0" w:color="auto"/>
        <w:left w:val="none" w:sz="0" w:space="0" w:color="auto"/>
        <w:bottom w:val="none" w:sz="0" w:space="0" w:color="auto"/>
        <w:right w:val="none" w:sz="0" w:space="0" w:color="auto"/>
      </w:divBdr>
    </w:div>
    <w:div w:id="688680936">
      <w:bodyDiv w:val="1"/>
      <w:marLeft w:val="0"/>
      <w:marRight w:val="0"/>
      <w:marTop w:val="0"/>
      <w:marBottom w:val="0"/>
      <w:divBdr>
        <w:top w:val="none" w:sz="0" w:space="0" w:color="auto"/>
        <w:left w:val="none" w:sz="0" w:space="0" w:color="auto"/>
        <w:bottom w:val="none" w:sz="0" w:space="0" w:color="auto"/>
        <w:right w:val="none" w:sz="0" w:space="0" w:color="auto"/>
      </w:divBdr>
    </w:div>
    <w:div w:id="772241486">
      <w:bodyDiv w:val="1"/>
      <w:marLeft w:val="0"/>
      <w:marRight w:val="0"/>
      <w:marTop w:val="0"/>
      <w:marBottom w:val="0"/>
      <w:divBdr>
        <w:top w:val="none" w:sz="0" w:space="0" w:color="auto"/>
        <w:left w:val="none" w:sz="0" w:space="0" w:color="auto"/>
        <w:bottom w:val="none" w:sz="0" w:space="0" w:color="auto"/>
        <w:right w:val="none" w:sz="0" w:space="0" w:color="auto"/>
      </w:divBdr>
    </w:div>
    <w:div w:id="797454293">
      <w:bodyDiv w:val="1"/>
      <w:marLeft w:val="0"/>
      <w:marRight w:val="0"/>
      <w:marTop w:val="0"/>
      <w:marBottom w:val="0"/>
      <w:divBdr>
        <w:top w:val="none" w:sz="0" w:space="0" w:color="auto"/>
        <w:left w:val="none" w:sz="0" w:space="0" w:color="auto"/>
        <w:bottom w:val="none" w:sz="0" w:space="0" w:color="auto"/>
        <w:right w:val="none" w:sz="0" w:space="0" w:color="auto"/>
      </w:divBdr>
    </w:div>
    <w:div w:id="990057783">
      <w:bodyDiv w:val="1"/>
      <w:marLeft w:val="0"/>
      <w:marRight w:val="0"/>
      <w:marTop w:val="0"/>
      <w:marBottom w:val="0"/>
      <w:divBdr>
        <w:top w:val="none" w:sz="0" w:space="0" w:color="auto"/>
        <w:left w:val="none" w:sz="0" w:space="0" w:color="auto"/>
        <w:bottom w:val="none" w:sz="0" w:space="0" w:color="auto"/>
        <w:right w:val="none" w:sz="0" w:space="0" w:color="auto"/>
      </w:divBdr>
    </w:div>
    <w:div w:id="1424104763">
      <w:bodyDiv w:val="1"/>
      <w:marLeft w:val="0"/>
      <w:marRight w:val="0"/>
      <w:marTop w:val="0"/>
      <w:marBottom w:val="0"/>
      <w:divBdr>
        <w:top w:val="none" w:sz="0" w:space="0" w:color="auto"/>
        <w:left w:val="none" w:sz="0" w:space="0" w:color="auto"/>
        <w:bottom w:val="none" w:sz="0" w:space="0" w:color="auto"/>
        <w:right w:val="none" w:sz="0" w:space="0" w:color="auto"/>
      </w:divBdr>
    </w:div>
    <w:div w:id="1451319361">
      <w:bodyDiv w:val="1"/>
      <w:marLeft w:val="0"/>
      <w:marRight w:val="0"/>
      <w:marTop w:val="0"/>
      <w:marBottom w:val="0"/>
      <w:divBdr>
        <w:top w:val="none" w:sz="0" w:space="0" w:color="auto"/>
        <w:left w:val="none" w:sz="0" w:space="0" w:color="auto"/>
        <w:bottom w:val="none" w:sz="0" w:space="0" w:color="auto"/>
        <w:right w:val="none" w:sz="0" w:space="0" w:color="auto"/>
      </w:divBdr>
    </w:div>
    <w:div w:id="1649944414">
      <w:bodyDiv w:val="1"/>
      <w:marLeft w:val="0"/>
      <w:marRight w:val="0"/>
      <w:marTop w:val="0"/>
      <w:marBottom w:val="0"/>
      <w:divBdr>
        <w:top w:val="none" w:sz="0" w:space="0" w:color="auto"/>
        <w:left w:val="none" w:sz="0" w:space="0" w:color="auto"/>
        <w:bottom w:val="none" w:sz="0" w:space="0" w:color="auto"/>
        <w:right w:val="none" w:sz="0" w:space="0" w:color="auto"/>
      </w:divBdr>
    </w:div>
    <w:div w:id="1789082304">
      <w:bodyDiv w:val="1"/>
      <w:marLeft w:val="0"/>
      <w:marRight w:val="0"/>
      <w:marTop w:val="0"/>
      <w:marBottom w:val="0"/>
      <w:divBdr>
        <w:top w:val="none" w:sz="0" w:space="0" w:color="auto"/>
        <w:left w:val="none" w:sz="0" w:space="0" w:color="auto"/>
        <w:bottom w:val="none" w:sz="0" w:space="0" w:color="auto"/>
        <w:right w:val="none" w:sz="0" w:space="0" w:color="auto"/>
      </w:divBdr>
    </w:div>
    <w:div w:id="1865633602">
      <w:bodyDiv w:val="1"/>
      <w:marLeft w:val="0"/>
      <w:marRight w:val="0"/>
      <w:marTop w:val="0"/>
      <w:marBottom w:val="0"/>
      <w:divBdr>
        <w:top w:val="none" w:sz="0" w:space="0" w:color="auto"/>
        <w:left w:val="none" w:sz="0" w:space="0" w:color="auto"/>
        <w:bottom w:val="none" w:sz="0" w:space="0" w:color="auto"/>
        <w:right w:val="none" w:sz="0" w:space="0" w:color="auto"/>
      </w:divBdr>
    </w:div>
    <w:div w:id="1936399603">
      <w:bodyDiv w:val="1"/>
      <w:marLeft w:val="0"/>
      <w:marRight w:val="0"/>
      <w:marTop w:val="0"/>
      <w:marBottom w:val="0"/>
      <w:divBdr>
        <w:top w:val="none" w:sz="0" w:space="0" w:color="auto"/>
        <w:left w:val="none" w:sz="0" w:space="0" w:color="auto"/>
        <w:bottom w:val="none" w:sz="0" w:space="0" w:color="auto"/>
        <w:right w:val="none" w:sz="0" w:space="0" w:color="auto"/>
      </w:divBdr>
    </w:div>
    <w:div w:id="20292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82EDC-056B-48C8-88B2-09057320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svetlana.mijac</dc:creator>
  <cp:lastModifiedBy>svetlana.mijac</cp:lastModifiedBy>
  <cp:revision>2</cp:revision>
  <dcterms:created xsi:type="dcterms:W3CDTF">2021-11-24T06:25:00Z</dcterms:created>
  <dcterms:modified xsi:type="dcterms:W3CDTF">2021-11-24T06:25:00Z</dcterms:modified>
</cp:coreProperties>
</file>