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053E868D"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3A7DE2AC"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14:paraId="794DFE9C" w14:textId="2C24985A" w:rsidR="0047783A" w:rsidRDefault="000724EA" w:rsidP="00FF3E2A">
      <w:pPr>
        <w:ind w:left="1134" w:hanging="567"/>
        <w:jc w:val="both"/>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FF3E2A">
        <w:rPr>
          <w:rFonts w:ascii="Times New Roman" w:hAnsi="Times New Roman"/>
          <w:sz w:val="22"/>
          <w:szCs w:val="22"/>
        </w:rPr>
        <w:t>C</w:t>
      </w:r>
      <w:r w:rsidR="0047783A" w:rsidRPr="00FF3E2A">
        <w:rPr>
          <w:rFonts w:ascii="Times New Roman" w:hAnsi="Times New Roman"/>
          <w:sz w:val="22"/>
          <w:szCs w:val="22"/>
        </w:rPr>
        <w:t xml:space="preserve">ontact persons, addresses of the </w:t>
      </w:r>
      <w:r w:rsidR="003F7AF5" w:rsidRPr="00FF3E2A">
        <w:rPr>
          <w:rFonts w:ascii="Times New Roman" w:hAnsi="Times New Roman"/>
          <w:sz w:val="22"/>
          <w:szCs w:val="22"/>
        </w:rPr>
        <w:t>p</w:t>
      </w:r>
      <w:r w:rsidR="0047783A" w:rsidRPr="00FF3E2A">
        <w:rPr>
          <w:rFonts w:ascii="Times New Roman" w:hAnsi="Times New Roman"/>
          <w:sz w:val="22"/>
          <w:szCs w:val="22"/>
        </w:rPr>
        <w:t xml:space="preserve">arties and their </w:t>
      </w:r>
      <w:r w:rsidR="003F7AF5" w:rsidRPr="00FF3E2A">
        <w:rPr>
          <w:rFonts w:ascii="Times New Roman" w:hAnsi="Times New Roman"/>
          <w:sz w:val="22"/>
          <w:szCs w:val="22"/>
        </w:rPr>
        <w:t>contact details</w:t>
      </w:r>
      <w:r w:rsidRPr="00FF3E2A">
        <w:rPr>
          <w:rFonts w:ascii="Times New Roman" w:hAnsi="Times New Roman"/>
          <w:sz w:val="22"/>
          <w:szCs w:val="22"/>
        </w:rPr>
        <w:t xml:space="preserve"> the documents to provide and the procedure to be used by the Parties for communication</w:t>
      </w:r>
      <w:r w:rsidR="00FF3E2A">
        <w:rPr>
          <w:rFonts w:ascii="Times New Roman" w:hAnsi="Times New Roman"/>
          <w:sz w:val="22"/>
          <w:szCs w:val="22"/>
        </w:rPr>
        <w:t>:</w:t>
      </w:r>
      <w:r w:rsidR="00FF3E2A" w:rsidRPr="00FF3E2A">
        <w:t xml:space="preserve"> </w:t>
      </w:r>
      <w:r w:rsidR="00FF3E2A" w:rsidRPr="00FF3E2A">
        <w:rPr>
          <w:rFonts w:ascii="Times New Roman" w:hAnsi="Times New Roman"/>
          <w:sz w:val="22"/>
          <w:szCs w:val="22"/>
        </w:rPr>
        <w:t>Ana Zivanovic and Snezana Markovic; Municipality of Bar, office 13</w:t>
      </w:r>
      <w:r w:rsidR="00FF3E2A">
        <w:rPr>
          <w:rFonts w:ascii="Times New Roman" w:hAnsi="Times New Roman"/>
          <w:sz w:val="22"/>
          <w:szCs w:val="22"/>
        </w:rPr>
        <w:t>7</w:t>
      </w:r>
      <w:r w:rsidR="00FF3E2A" w:rsidRPr="00FF3E2A">
        <w:rPr>
          <w:rFonts w:ascii="Times New Roman" w:hAnsi="Times New Roman"/>
          <w:sz w:val="22"/>
          <w:szCs w:val="22"/>
        </w:rPr>
        <w:t xml:space="preserve">, Bulevar Revolucije 1, 85000 Bar, Montenegro; </w:t>
      </w:r>
      <w:hyperlink r:id="rId9" w:history="1">
        <w:r w:rsidR="00FF3E2A" w:rsidRPr="00333415">
          <w:rPr>
            <w:rStyle w:val="Hyperlink"/>
            <w:rFonts w:ascii="Times New Roman" w:hAnsi="Times New Roman"/>
            <w:sz w:val="22"/>
            <w:szCs w:val="22"/>
          </w:rPr>
          <w:t>ana.zivanovic@bar.me</w:t>
        </w:r>
      </w:hyperlink>
      <w:r w:rsidR="00FF3E2A" w:rsidRPr="00FF3E2A">
        <w:rPr>
          <w:rFonts w:ascii="Times New Roman" w:hAnsi="Times New Roman"/>
          <w:sz w:val="22"/>
          <w:szCs w:val="22"/>
        </w:rPr>
        <w:t xml:space="preserve">; </w:t>
      </w:r>
      <w:hyperlink r:id="rId10" w:history="1">
        <w:r w:rsidR="00FF3E2A" w:rsidRPr="00333415">
          <w:rPr>
            <w:rStyle w:val="Hyperlink"/>
            <w:rFonts w:ascii="Times New Roman" w:hAnsi="Times New Roman"/>
            <w:sz w:val="22"/>
            <w:szCs w:val="22"/>
          </w:rPr>
          <w:t>snezana.markovic@bar.me</w:t>
        </w:r>
      </w:hyperlink>
      <w:r w:rsidR="00FF3E2A" w:rsidRPr="00FF3E2A">
        <w:rPr>
          <w:rFonts w:ascii="Times New Roman" w:hAnsi="Times New Roman"/>
          <w:sz w:val="22"/>
          <w:szCs w:val="22"/>
        </w:rPr>
        <w:t xml:space="preserve"> telephone: 030 301 406.</w:t>
      </w:r>
    </w:p>
    <w:p w14:paraId="402D9C62" w14:textId="77777777"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30D5433B" w14:textId="77777777" w:rsidR="006D3DE4"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14:paraId="0298C40B" w14:textId="77777777" w:rsidR="00304FA1" w:rsidRPr="003D6B6C" w:rsidRDefault="00304FA1" w:rsidP="00304FA1">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Pr>
          <w:rFonts w:ascii="Times New Roman" w:hAnsi="Times New Roman"/>
          <w:b/>
          <w:sz w:val="22"/>
          <w:szCs w:val="22"/>
        </w:rPr>
        <w:t>o</w:t>
      </w:r>
      <w:r w:rsidRPr="003D6B6C">
        <w:rPr>
          <w:rFonts w:ascii="Times New Roman" w:hAnsi="Times New Roman"/>
          <w:b/>
          <w:sz w:val="22"/>
          <w:szCs w:val="22"/>
        </w:rPr>
        <w:t>bligations</w:t>
      </w:r>
    </w:p>
    <w:p w14:paraId="39A5957D" w14:textId="53F84F2E" w:rsidR="00304FA1" w:rsidRDefault="00304FA1" w:rsidP="00304FA1">
      <w:pPr>
        <w:tabs>
          <w:tab w:val="left" w:pos="426"/>
        </w:tabs>
        <w:ind w:left="1134" w:right="-285" w:hanging="708"/>
        <w:jc w:val="both"/>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Pr>
          <w:rFonts w:ascii="Times New Roman" w:hAnsi="Times New Roman"/>
          <w:sz w:val="22"/>
          <w:szCs w:val="22"/>
        </w:rPr>
        <w:t>All equipment has</w:t>
      </w:r>
      <w:r w:rsidRPr="00DA1E7B">
        <w:rPr>
          <w:rFonts w:ascii="Times New Roman" w:hAnsi="Times New Roman"/>
          <w:sz w:val="22"/>
          <w:szCs w:val="22"/>
        </w:rPr>
        <w:t xml:space="preserve"> to be marked with the Program logo</w:t>
      </w:r>
      <w:r>
        <w:rPr>
          <w:rFonts w:ascii="Times New Roman" w:hAnsi="Times New Roman"/>
          <w:sz w:val="22"/>
          <w:szCs w:val="22"/>
        </w:rPr>
        <w:t xml:space="preserve"> tile</w:t>
      </w:r>
      <w:r w:rsidRPr="00DA1E7B">
        <w:rPr>
          <w:rFonts w:ascii="Times New Roman" w:hAnsi="Times New Roman"/>
          <w:sz w:val="22"/>
          <w:szCs w:val="22"/>
        </w:rPr>
        <w:t xml:space="preserve"> (</w:t>
      </w:r>
      <w:r w:rsidRPr="002938CB">
        <w:rPr>
          <w:rFonts w:ascii="Times New Roman" w:hAnsi="Times New Roman"/>
          <w:b/>
          <w:sz w:val="22"/>
          <w:szCs w:val="22"/>
        </w:rPr>
        <w:t>Interreg Hr-BiH-Mne 2014-2020</w:t>
      </w:r>
      <w:r w:rsidRPr="00DA1E7B">
        <w:rPr>
          <w:rFonts w:ascii="Times New Roman" w:hAnsi="Times New Roman"/>
          <w:sz w:val="22"/>
          <w:szCs w:val="22"/>
        </w:rPr>
        <w:t xml:space="preserve">) and the contractor is obliged to provide it. These activities must comply with the rules lay down in the Communication and Visibility Manual for EU External Actions published </w:t>
      </w:r>
      <w:r>
        <w:rPr>
          <w:rFonts w:ascii="Times New Roman" w:hAnsi="Times New Roman"/>
          <w:sz w:val="22"/>
          <w:szCs w:val="22"/>
        </w:rPr>
        <w:t xml:space="preserve">on the </w:t>
      </w:r>
      <w:r w:rsidRPr="00DA1E7B">
        <w:rPr>
          <w:rFonts w:ascii="Times New Roman" w:hAnsi="Times New Roman"/>
          <w:sz w:val="22"/>
          <w:szCs w:val="22"/>
        </w:rPr>
        <w:t xml:space="preserve">website of DG International Cooperation and Development: </w:t>
      </w:r>
    </w:p>
    <w:p w14:paraId="2064BECC" w14:textId="77777777" w:rsidR="00304FA1" w:rsidRPr="003D6B6C" w:rsidRDefault="00304FA1" w:rsidP="00304FA1">
      <w:pPr>
        <w:tabs>
          <w:tab w:val="left" w:pos="426"/>
        </w:tabs>
        <w:ind w:left="1134" w:right="-285" w:hanging="708"/>
        <w:jc w:val="both"/>
        <w:rPr>
          <w:rFonts w:ascii="Times New Roman" w:hAnsi="Times New Roman"/>
          <w:sz w:val="22"/>
          <w:szCs w:val="22"/>
        </w:rPr>
      </w:pPr>
      <w:r w:rsidRPr="002938CB">
        <w:rPr>
          <w:rFonts w:ascii="Times New Roman" w:hAnsi="Times New Roman"/>
          <w:sz w:val="22"/>
          <w:szCs w:val="22"/>
        </w:rPr>
        <w:t xml:space="preserve">https://ec.europa.eu/europeaid/funding/communication-and-visibility-manual-eu-external-actions_en  </w:t>
      </w:r>
      <w:r>
        <w:rPr>
          <w:rFonts w:ascii="Times New Roman" w:hAnsi="Times New Roman"/>
          <w:sz w:val="22"/>
          <w:szCs w:val="22"/>
        </w:rPr>
        <w:t xml:space="preserve"> will be done by contracting authority</w:t>
      </w:r>
    </w:p>
    <w:p w14:paraId="63D87713" w14:textId="77777777" w:rsidR="00304FA1" w:rsidRPr="003D6B6C" w:rsidRDefault="00304FA1" w:rsidP="00C73F87">
      <w:pPr>
        <w:ind w:left="1134" w:hanging="567"/>
        <w:jc w:val="both"/>
        <w:rPr>
          <w:rFonts w:ascii="Times New Roman" w:hAnsi="Times New Roman"/>
          <w:sz w:val="22"/>
          <w:szCs w:val="22"/>
        </w:rPr>
      </w:pPr>
    </w:p>
    <w:p w14:paraId="7B0EBBEA" w14:textId="77777777" w:rsidR="0047783A" w:rsidRPr="003D6B6C" w:rsidRDefault="0047783A" w:rsidP="001B55AC">
      <w:pPr>
        <w:keepNext/>
        <w:spacing w:before="240"/>
        <w:ind w:left="1134" w:hanging="1134"/>
        <w:jc w:val="both"/>
        <w:rPr>
          <w:rFonts w:ascii="Times New Roman" w:hAnsi="Times New Roman"/>
          <w:b/>
          <w:sz w:val="24"/>
          <w:szCs w:val="24"/>
        </w:rPr>
      </w:pPr>
      <w:bookmarkStart w:id="3" w:name="_Toc124934900"/>
      <w:r w:rsidRPr="003D6B6C">
        <w:rPr>
          <w:rFonts w:ascii="Times New Roman" w:hAnsi="Times New Roman"/>
          <w:b/>
          <w:sz w:val="24"/>
          <w:szCs w:val="24"/>
        </w:rPr>
        <w:lastRenderedPageBreak/>
        <w:t>Article 10</w:t>
      </w:r>
      <w:r w:rsidRPr="003D6B6C">
        <w:rPr>
          <w:rFonts w:ascii="Times New Roman" w:hAnsi="Times New Roman"/>
          <w:b/>
          <w:sz w:val="24"/>
          <w:szCs w:val="24"/>
        </w:rPr>
        <w:tab/>
        <w:t>Origin</w:t>
      </w:r>
      <w:bookmarkEnd w:id="3"/>
    </w:p>
    <w:p w14:paraId="7F4C0A19" w14:textId="06FA6057" w:rsidR="0047783A" w:rsidRPr="003D6B6C" w:rsidRDefault="0047783A" w:rsidP="005D03AA">
      <w:pPr>
        <w:pStyle w:val="Heading2"/>
        <w:keepNext w:val="0"/>
        <w:numPr>
          <w:ilvl w:val="1"/>
          <w:numId w:val="0"/>
        </w:numPr>
        <w:ind w:left="1134" w:hanging="708"/>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t xml:space="preserve">All goods purchased must originate </w:t>
      </w:r>
      <w:r w:rsidR="008B230C">
        <w:rPr>
          <w:rFonts w:ascii="Times New Roman" w:hAnsi="Times New Roman"/>
          <w:sz w:val="22"/>
          <w:szCs w:val="22"/>
          <w:lang w:val="en-GB"/>
        </w:rPr>
        <w:t xml:space="preserve">from </w:t>
      </w:r>
      <w:r w:rsidR="005A6C0F" w:rsidRPr="00FE7134">
        <w:rPr>
          <w:rFonts w:ascii="Times New Roman" w:hAnsi="Times New Roman"/>
          <w:sz w:val="22"/>
          <w:szCs w:val="22"/>
          <w:lang w:val="en-GB"/>
        </w:rPr>
        <w:t xml:space="preserve">an eligible source country as defined in </w:t>
      </w:r>
      <w:r w:rsidR="00732495" w:rsidRPr="003D6B6C">
        <w:rPr>
          <w:rFonts w:ascii="Times New Roman" w:hAnsi="Times New Roman"/>
          <w:sz w:val="22"/>
          <w:szCs w:val="22"/>
          <w:lang w:val="en-GB"/>
        </w:rPr>
        <w:t xml:space="preserve">the </w:t>
      </w:r>
      <w:r w:rsidR="00732495" w:rsidRPr="002938CB">
        <w:rPr>
          <w:rFonts w:ascii="Times New Roman" w:hAnsi="Times New Roman"/>
          <w:b/>
          <w:sz w:val="22"/>
          <w:szCs w:val="22"/>
          <w:lang w:val="en-GB"/>
        </w:rPr>
        <w:t>Interreg Hr-BiH-Mne 2014-2020</w:t>
      </w:r>
      <w:r w:rsidR="00732495">
        <w:rPr>
          <w:rFonts w:ascii="Times New Roman" w:hAnsi="Times New Roman"/>
          <w:b/>
          <w:sz w:val="22"/>
          <w:szCs w:val="22"/>
          <w:lang w:val="en-GB"/>
        </w:rPr>
        <w:t xml:space="preserve"> </w:t>
      </w:r>
      <w:r w:rsidR="00732495">
        <w:rPr>
          <w:rFonts w:ascii="Times New Roman" w:hAnsi="Times New Roman"/>
          <w:sz w:val="22"/>
          <w:szCs w:val="22"/>
          <w:lang w:val="en-GB"/>
        </w:rPr>
        <w:t>programme</w:t>
      </w:r>
      <w:r w:rsidRPr="003D6B6C">
        <w:rPr>
          <w:rFonts w:ascii="Times New Roman" w:hAnsi="Times New Roman"/>
          <w:sz w:val="22"/>
          <w:szCs w:val="22"/>
          <w:lang w:val="en-GB"/>
        </w:rPr>
        <w:t xml:space="preserve">. For these purposes, </w:t>
      </w:r>
      <w:r w:rsidR="006A5F84" w:rsidRPr="003D6B6C">
        <w:rPr>
          <w:rFonts w:ascii="Times New Roman" w:hAnsi="Times New Roman"/>
          <w:sz w:val="22"/>
          <w:szCs w:val="22"/>
          <w:lang w:val="en-GB"/>
        </w:rPr>
        <w:t>‘</w:t>
      </w:r>
      <w:r w:rsidRPr="003D6B6C">
        <w:rPr>
          <w:rFonts w:ascii="Times New Roman" w:hAnsi="Times New Roman"/>
          <w:sz w:val="22"/>
          <w:szCs w:val="22"/>
          <w:lang w:val="en-GB"/>
        </w:rPr>
        <w:t>origin</w:t>
      </w:r>
      <w:r w:rsidR="006A5F84" w:rsidRPr="003D6B6C">
        <w:rPr>
          <w:rFonts w:ascii="Times New Roman" w:hAnsi="Times New Roman"/>
          <w:sz w:val="22"/>
          <w:szCs w:val="22"/>
          <w:lang w:val="en-GB"/>
        </w:rPr>
        <w:t>’</w:t>
      </w:r>
      <w:r w:rsidRPr="003D6B6C">
        <w:rPr>
          <w:rFonts w:ascii="Times New Roman" w:hAnsi="Times New Roman"/>
          <w:sz w:val="22"/>
          <w:szCs w:val="22"/>
          <w:lang w:val="en-GB"/>
        </w:rPr>
        <w:t xml:space="preserve"> means the place where the goods are mined, grown, produced or manufactured</w:t>
      </w:r>
      <w:r w:rsidR="007D752C">
        <w:rPr>
          <w:rFonts w:ascii="Times New Roman" w:hAnsi="Times New Roman"/>
          <w:sz w:val="22"/>
          <w:szCs w:val="22"/>
          <w:lang w:val="en-GB"/>
        </w:rPr>
        <w:t>.</w:t>
      </w:r>
      <w:r w:rsidRPr="003D6B6C">
        <w:rPr>
          <w:rFonts w:ascii="Times New Roman" w:hAnsi="Times New Roman"/>
          <w:sz w:val="22"/>
          <w:szCs w:val="22"/>
          <w:lang w:val="en-GB"/>
        </w:rPr>
        <w:t xml:space="preserve"> The origin of the goods must be determined according to the EU Customs Code or to the relevant international agreement applicable.</w:t>
      </w:r>
    </w:p>
    <w:p w14:paraId="08F8112F" w14:textId="29DF4F92" w:rsidR="0047783A" w:rsidRPr="003D6B6C" w:rsidRDefault="0047783A" w:rsidP="00B34179">
      <w:pPr>
        <w:spacing w:before="240"/>
        <w:ind w:left="1134" w:hanging="1134"/>
        <w:jc w:val="both"/>
        <w:rPr>
          <w:rFonts w:ascii="Times New Roman" w:hAnsi="Times New Roman"/>
          <w:b/>
          <w:sz w:val="24"/>
          <w:szCs w:val="24"/>
        </w:rPr>
      </w:pPr>
      <w:bookmarkStart w:id="4"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4"/>
    </w:p>
    <w:p w14:paraId="20BFEFF7" w14:textId="2CA482BC" w:rsidR="00D25711" w:rsidRPr="003D6B6C" w:rsidRDefault="00F355C1" w:rsidP="00732495">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732495">
        <w:rPr>
          <w:rFonts w:ascii="Times New Roman" w:hAnsi="Times New Roman"/>
          <w:sz w:val="22"/>
          <w:szCs w:val="22"/>
        </w:rPr>
        <w:t>No performance guarantee is required.</w:t>
      </w:r>
    </w:p>
    <w:p w14:paraId="7E65A926" w14:textId="77777777" w:rsidR="0047783A" w:rsidRPr="003D6B6C" w:rsidRDefault="0047783A" w:rsidP="00B34179">
      <w:pPr>
        <w:spacing w:before="240"/>
        <w:ind w:left="1134" w:hanging="1134"/>
        <w:jc w:val="both"/>
        <w:rPr>
          <w:rFonts w:ascii="Times New Roman" w:hAnsi="Times New Roman"/>
          <w:b/>
          <w:sz w:val="24"/>
          <w:szCs w:val="24"/>
        </w:rPr>
      </w:pPr>
      <w:bookmarkStart w:id="5"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5"/>
    </w:p>
    <w:p w14:paraId="74BC38C6" w14:textId="30BB58DF" w:rsidR="00AF5F5D" w:rsidRPr="003D6B6C" w:rsidRDefault="003D6B6C" w:rsidP="00AF5F5D">
      <w:pPr>
        <w:ind w:left="1843" w:hanging="1843"/>
        <w:jc w:val="both"/>
        <w:rPr>
          <w:rFonts w:ascii="Times New Roman" w:hAnsi="Times New Roman"/>
          <w:color w:val="222222"/>
          <w:sz w:val="22"/>
          <w:szCs w:val="22"/>
          <w:lang w:val="en"/>
        </w:rPr>
      </w:pPr>
      <w:r>
        <w:rPr>
          <w:rFonts w:ascii="Times New Roman" w:hAnsi="Times New Roman"/>
          <w:sz w:val="22"/>
          <w:szCs w:val="22"/>
        </w:rPr>
        <w:t>12.2</w:t>
      </w:r>
      <w:r w:rsidR="001020D9">
        <w:rPr>
          <w:rFonts w:ascii="Times New Roman" w:hAnsi="Times New Roman"/>
          <w:sz w:val="22"/>
          <w:szCs w:val="22"/>
        </w:rPr>
        <w:t>(</w:t>
      </w:r>
      <w:r w:rsidR="00F51D3D" w:rsidRPr="003D6B6C">
        <w:rPr>
          <w:rFonts w:ascii="Times New Roman" w:hAnsi="Times New Roman"/>
          <w:sz w:val="22"/>
          <w:szCs w:val="22"/>
        </w:rPr>
        <w:t>b), paragraph 2</w:t>
      </w:r>
      <w:r>
        <w:rPr>
          <w:rFonts w:ascii="Times New Roman" w:hAnsi="Times New Roman"/>
          <w:sz w:val="22"/>
          <w:szCs w:val="22"/>
        </w:rPr>
        <w:tab/>
      </w:r>
    </w:p>
    <w:p w14:paraId="344549B1" w14:textId="77777777" w:rsidR="00304FA1" w:rsidRPr="00304FA1" w:rsidRDefault="00304FA1" w:rsidP="00304FA1">
      <w:pPr>
        <w:autoSpaceDE w:val="0"/>
        <w:autoSpaceDN w:val="0"/>
        <w:adjustRightInd w:val="0"/>
        <w:spacing w:before="0" w:after="0"/>
        <w:jc w:val="both"/>
        <w:rPr>
          <w:rFonts w:ascii="Times New Roman" w:hAnsi="Times New Roman"/>
          <w:snapToGrid/>
          <w:color w:val="222222"/>
          <w:sz w:val="22"/>
          <w:szCs w:val="22"/>
          <w:lang w:val="en" w:eastAsia="en-GB"/>
        </w:rPr>
      </w:pPr>
      <w:bookmarkStart w:id="6" w:name="_Toc124934903"/>
      <w:r w:rsidRPr="00304FA1">
        <w:rPr>
          <w:rFonts w:ascii="Times New Roman" w:hAnsi="Times New Roman"/>
          <w:b/>
          <w:i/>
          <w:iCs/>
          <w:snapToGrid/>
          <w:color w:val="000000"/>
          <w:sz w:val="22"/>
          <w:szCs w:val="22"/>
          <w:lang w:eastAsia="en-GB"/>
        </w:rPr>
        <w:t>DDP - Delivered Duty Paid</w:t>
      </w:r>
      <w:r w:rsidRPr="00304FA1">
        <w:rPr>
          <w:rFonts w:ascii="Times New Roman" w:hAnsi="Times New Roman"/>
          <w:i/>
          <w:iCs/>
          <w:snapToGrid/>
          <w:color w:val="000000"/>
          <w:sz w:val="22"/>
          <w:szCs w:val="22"/>
          <w:lang w:eastAsia="en-GB"/>
        </w:rPr>
        <w:t xml:space="preserve">: </w:t>
      </w:r>
      <w:r w:rsidRPr="00304FA1">
        <w:rPr>
          <w:rFonts w:ascii="Times New Roman" w:hAnsi="Times New Roman"/>
          <w:snapToGrid/>
          <w:color w:val="222222"/>
          <w:sz w:val="22"/>
          <w:szCs w:val="22"/>
          <w:lang w:val="en" w:eastAsia="en-GB"/>
        </w:rPr>
        <w:t>Incoterm which imposes on the seller maximum obligations vis-à-vis transportation and loss risks and damage associated with the goods:</w:t>
      </w:r>
    </w:p>
    <w:p w14:paraId="6128D7A7" w14:textId="77777777" w:rsidR="00304FA1" w:rsidRPr="00304FA1" w:rsidRDefault="00304FA1" w:rsidP="00304FA1">
      <w:pPr>
        <w:autoSpaceDE w:val="0"/>
        <w:autoSpaceDN w:val="0"/>
        <w:adjustRightInd w:val="0"/>
        <w:spacing w:before="0" w:after="0"/>
        <w:jc w:val="both"/>
        <w:rPr>
          <w:rFonts w:ascii="Times New Roman" w:hAnsi="Times New Roman"/>
          <w:snapToGrid/>
          <w:color w:val="000000"/>
          <w:sz w:val="22"/>
          <w:szCs w:val="22"/>
          <w:lang w:eastAsia="en-GB"/>
        </w:rPr>
      </w:pPr>
    </w:p>
    <w:p w14:paraId="76E5FF07" w14:textId="77777777" w:rsidR="00304FA1" w:rsidRPr="00304FA1" w:rsidRDefault="00304FA1" w:rsidP="00304FA1">
      <w:pPr>
        <w:autoSpaceDE w:val="0"/>
        <w:autoSpaceDN w:val="0"/>
        <w:adjustRightInd w:val="0"/>
        <w:spacing w:before="0"/>
        <w:jc w:val="both"/>
        <w:rPr>
          <w:rFonts w:ascii="Times New Roman" w:hAnsi="Times New Roman"/>
          <w:snapToGrid/>
          <w:color w:val="222222"/>
          <w:sz w:val="22"/>
          <w:szCs w:val="22"/>
          <w:lang w:val="en" w:eastAsia="en-GB"/>
        </w:rPr>
      </w:pPr>
      <w:r w:rsidRPr="00304FA1">
        <w:rPr>
          <w:rFonts w:ascii="Times New Roman" w:hAnsi="Times New Roman"/>
          <w:i/>
          <w:iCs/>
          <w:snapToGrid/>
          <w:color w:val="000000"/>
          <w:sz w:val="22"/>
          <w:szCs w:val="22"/>
          <w:lang w:eastAsia="en-GB"/>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sidRPr="00304FA1">
        <w:rPr>
          <w:rFonts w:ascii="Times New Roman" w:hAnsi="Times New Roman"/>
          <w:i/>
          <w:iCs/>
          <w:snapToGrid/>
          <w:color w:val="000000"/>
          <w:sz w:val="22"/>
          <w:szCs w:val="22"/>
          <w:vertAlign w:val="superscript"/>
          <w:lang w:eastAsia="en-GB"/>
        </w:rPr>
        <w:footnoteReference w:id="1"/>
      </w:r>
      <w:r w:rsidRPr="00304FA1">
        <w:rPr>
          <w:rFonts w:ascii="Times New Roman" w:hAnsi="Times New Roman"/>
          <w:i/>
          <w:iCs/>
          <w:snapToGrid/>
          <w:color w:val="000000"/>
          <w:sz w:val="22"/>
          <w:szCs w:val="22"/>
          <w:lang w:eastAsia="en-GB"/>
        </w:rPr>
        <w:t xml:space="preserve"> </w:t>
      </w:r>
      <w:r w:rsidRPr="00304FA1">
        <w:rPr>
          <w:rFonts w:ascii="Times New Roman" w:hAnsi="Times New Roman"/>
          <w:snapToGrid/>
          <w:color w:val="222222"/>
          <w:sz w:val="22"/>
          <w:szCs w:val="22"/>
          <w:lang w:val="en" w:eastAsia="en-GB"/>
        </w:rPr>
        <w:t>The transfer of risks and costs occurs at the place of unloading of the goods at the agreed place of destination.</w:t>
      </w:r>
    </w:p>
    <w:bookmarkEnd w:id="6"/>
    <w:p w14:paraId="35D9433B" w14:textId="06EE2C35" w:rsidR="00C52305" w:rsidRPr="003D6B6C" w:rsidRDefault="00C52305" w:rsidP="001E0DB1">
      <w:pPr>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r>
      <w:r w:rsidR="001E0DB1">
        <w:rPr>
          <w:rFonts w:ascii="Times New Roman" w:hAnsi="Times New Roman"/>
          <w:b/>
          <w:sz w:val="24"/>
          <w:szCs w:val="24"/>
        </w:rPr>
        <w:t xml:space="preserve"> </w:t>
      </w:r>
      <w:r w:rsidRPr="003D6B6C">
        <w:rPr>
          <w:rFonts w:ascii="Times New Roman" w:hAnsi="Times New Roman"/>
          <w:b/>
          <w:sz w:val="24"/>
          <w:szCs w:val="24"/>
        </w:rPr>
        <w:t>Tax and customs arrangements</w:t>
      </w:r>
    </w:p>
    <w:p w14:paraId="6AF4FC5B" w14:textId="0FA6A3FF"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1E0DB1">
        <w:rPr>
          <w:rFonts w:ascii="Times New Roman" w:hAnsi="Times New Roman"/>
          <w:sz w:val="22"/>
          <w:szCs w:val="22"/>
        </w:rPr>
        <w:t>Delivery conditions are DDP instead of DA</w:t>
      </w:r>
      <w:r w:rsidR="009F4F99" w:rsidRPr="00832575">
        <w:rPr>
          <w:rFonts w:ascii="Times New Roman" w:hAnsi="Times New Roman"/>
          <w:sz w:val="22"/>
          <w:szCs w:val="22"/>
        </w:rPr>
        <w:t>P as mentioned in the general conditions</w:t>
      </w:r>
      <w:r w:rsidR="009F4F99">
        <w:rPr>
          <w:rFonts w:ascii="Times New Roman" w:hAnsi="Times New Roman"/>
          <w:sz w:val="22"/>
          <w:szCs w:val="22"/>
        </w:rPr>
        <w:t>.</w:t>
      </w:r>
    </w:p>
    <w:p w14:paraId="68BC2499" w14:textId="77777777" w:rsidR="00EB32E9" w:rsidRPr="003D6B6C" w:rsidRDefault="0047783A" w:rsidP="00B34179">
      <w:pPr>
        <w:spacing w:before="240"/>
        <w:ind w:left="1134" w:hanging="1134"/>
        <w:jc w:val="both"/>
        <w:rPr>
          <w:rFonts w:ascii="Times New Roman" w:hAnsi="Times New Roman"/>
          <w:b/>
          <w:sz w:val="24"/>
          <w:szCs w:val="24"/>
        </w:rPr>
      </w:pPr>
      <w:bookmarkStart w:id="7"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7"/>
      <w:r w:rsidR="00EB32E9" w:rsidRPr="003D6B6C">
        <w:rPr>
          <w:rFonts w:ascii="Times New Roman" w:hAnsi="Times New Roman"/>
          <w:b/>
          <w:sz w:val="24"/>
          <w:szCs w:val="24"/>
        </w:rPr>
        <w:t xml:space="preserve"> </w:t>
      </w:r>
    </w:p>
    <w:p w14:paraId="5D9535E4" w14:textId="67826E0D" w:rsidR="00EB32E9" w:rsidRPr="003D6B6C" w:rsidRDefault="00EB32E9"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sz w:val="22"/>
          <w:szCs w:val="22"/>
        </w:rPr>
        <w:tab/>
      </w:r>
      <w:r w:rsidRPr="009F4F99">
        <w:rPr>
          <w:rFonts w:ascii="Times New Roman" w:hAnsi="Times New Roman"/>
          <w:sz w:val="22"/>
          <w:szCs w:val="22"/>
        </w:rPr>
        <w:t xml:space="preserve">The </w:t>
      </w:r>
      <w:r w:rsidR="00F60098" w:rsidRPr="009F4F99">
        <w:rPr>
          <w:rFonts w:ascii="Times New Roman" w:hAnsi="Times New Roman"/>
          <w:sz w:val="22"/>
          <w:szCs w:val="22"/>
        </w:rPr>
        <w:t>c</w:t>
      </w:r>
      <w:r w:rsidRPr="009F4F99">
        <w:rPr>
          <w:rFonts w:ascii="Times New Roman" w:hAnsi="Times New Roman"/>
          <w:sz w:val="22"/>
          <w:szCs w:val="22"/>
        </w:rPr>
        <w:t xml:space="preserve">ontracting </w:t>
      </w:r>
      <w:r w:rsidR="00F60098" w:rsidRPr="009F4F99">
        <w:rPr>
          <w:rFonts w:ascii="Times New Roman" w:hAnsi="Times New Roman"/>
          <w:sz w:val="22"/>
          <w:szCs w:val="22"/>
        </w:rPr>
        <w:t>a</w:t>
      </w:r>
      <w:r w:rsidRPr="009F4F99">
        <w:rPr>
          <w:rFonts w:ascii="Times New Roman" w:hAnsi="Times New Roman"/>
          <w:sz w:val="22"/>
          <w:szCs w:val="22"/>
        </w:rPr>
        <w:t xml:space="preserve">uthority </w:t>
      </w:r>
      <w:r w:rsidR="00551543" w:rsidRPr="009F4F99">
        <w:rPr>
          <w:rFonts w:ascii="Times New Roman" w:hAnsi="Times New Roman"/>
          <w:sz w:val="22"/>
          <w:szCs w:val="22"/>
        </w:rPr>
        <w:t>sha</w:t>
      </w:r>
      <w:r w:rsidRPr="009F4F99">
        <w:rPr>
          <w:rFonts w:ascii="Times New Roman" w:hAnsi="Times New Roman"/>
          <w:sz w:val="22"/>
          <w:szCs w:val="22"/>
        </w:rPr>
        <w:t xml:space="preserve">ll inform the </w:t>
      </w:r>
      <w:r w:rsidR="00F60098" w:rsidRPr="009F4F99">
        <w:rPr>
          <w:rFonts w:ascii="Times New Roman" w:hAnsi="Times New Roman"/>
          <w:sz w:val="22"/>
          <w:szCs w:val="22"/>
        </w:rPr>
        <w:t>c</w:t>
      </w:r>
      <w:r w:rsidRPr="009F4F99">
        <w:rPr>
          <w:rFonts w:ascii="Times New Roman" w:hAnsi="Times New Roman"/>
          <w:sz w:val="22"/>
          <w:szCs w:val="22"/>
        </w:rPr>
        <w:t xml:space="preserve">ontractor </w:t>
      </w:r>
      <w:r w:rsidR="00551543" w:rsidRPr="009F4F99">
        <w:rPr>
          <w:rFonts w:ascii="Times New Roman" w:hAnsi="Times New Roman"/>
          <w:sz w:val="22"/>
          <w:szCs w:val="22"/>
        </w:rPr>
        <w:t xml:space="preserve">by administrative order </w:t>
      </w:r>
      <w:r w:rsidRPr="009F4F99">
        <w:rPr>
          <w:rFonts w:ascii="Times New Roman" w:hAnsi="Times New Roman"/>
          <w:sz w:val="22"/>
          <w:szCs w:val="22"/>
        </w:rPr>
        <w:t>of the date on which implementation of the tasks shall begin</w:t>
      </w:r>
      <w:r w:rsidR="00551543" w:rsidRPr="009F4F99">
        <w:rPr>
          <w:rFonts w:ascii="Times New Roman" w:hAnsi="Times New Roman"/>
          <w:sz w:val="22"/>
          <w:szCs w:val="22"/>
        </w:rPr>
        <w:t>.</w:t>
      </w:r>
    </w:p>
    <w:p w14:paraId="40415148"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8"/>
      <w:r w:rsidRPr="003D6B6C">
        <w:rPr>
          <w:rFonts w:ascii="Times New Roman" w:hAnsi="Times New Roman"/>
          <w:b/>
          <w:sz w:val="24"/>
          <w:szCs w:val="24"/>
        </w:rPr>
        <w:t xml:space="preserve"> of the tasks</w:t>
      </w:r>
    </w:p>
    <w:p w14:paraId="503D00E5" w14:textId="46DCFD7F" w:rsidR="001E0DB1" w:rsidRPr="00ED4169" w:rsidRDefault="0047783A" w:rsidP="001E0DB1">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1E0DB1" w:rsidRPr="00D44896">
        <w:rPr>
          <w:rFonts w:ascii="Times New Roman" w:hAnsi="Times New Roman"/>
          <w:sz w:val="22"/>
          <w:szCs w:val="22"/>
        </w:rPr>
        <w:t xml:space="preserve">The implementation period(s) of the tasks in calendar days in relation to the date stipulated in the previous article: </w:t>
      </w:r>
      <w:r w:rsidR="001E0DB1" w:rsidRPr="00ED4169">
        <w:rPr>
          <w:rFonts w:ascii="Times New Roman" w:hAnsi="Times New Roman"/>
          <w:sz w:val="22"/>
          <w:szCs w:val="22"/>
        </w:rPr>
        <w:t xml:space="preserve">implementation period for implementation of the project tasks is from </w:t>
      </w:r>
      <w:r w:rsidR="00ED4169" w:rsidRPr="00ED4169">
        <w:rPr>
          <w:rFonts w:ascii="Times New Roman" w:hAnsi="Times New Roman"/>
          <w:sz w:val="22"/>
          <w:szCs w:val="22"/>
        </w:rPr>
        <w:t>December 2</w:t>
      </w:r>
      <w:r w:rsidR="001E0DB1" w:rsidRPr="00ED4169">
        <w:rPr>
          <w:rFonts w:ascii="Times New Roman" w:hAnsi="Times New Roman"/>
          <w:sz w:val="22"/>
          <w:szCs w:val="22"/>
        </w:rPr>
        <w:t xml:space="preserve">, 2021 to December </w:t>
      </w:r>
      <w:r w:rsidR="00ED4169" w:rsidRPr="00ED4169">
        <w:rPr>
          <w:rFonts w:ascii="Times New Roman" w:hAnsi="Times New Roman"/>
          <w:sz w:val="22"/>
          <w:szCs w:val="22"/>
        </w:rPr>
        <w:t>31</w:t>
      </w:r>
      <w:r w:rsidR="001E0DB1" w:rsidRPr="00ED4169">
        <w:rPr>
          <w:rFonts w:ascii="Times New Roman" w:hAnsi="Times New Roman"/>
          <w:sz w:val="22"/>
          <w:szCs w:val="22"/>
        </w:rPr>
        <w:t>, 2021.</w:t>
      </w:r>
    </w:p>
    <w:p w14:paraId="0FBA9C31"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10"/>
      <w:r w:rsidRPr="00ED4169">
        <w:rPr>
          <w:rFonts w:ascii="Times New Roman" w:hAnsi="Times New Roman"/>
          <w:b/>
          <w:sz w:val="24"/>
          <w:szCs w:val="24"/>
        </w:rPr>
        <w:t>Article 24</w:t>
      </w:r>
      <w:r w:rsidRPr="00ED4169">
        <w:rPr>
          <w:rFonts w:ascii="Times New Roman" w:hAnsi="Times New Roman"/>
          <w:b/>
          <w:sz w:val="24"/>
          <w:szCs w:val="24"/>
        </w:rPr>
        <w:tab/>
        <w:t>Quality of supplies</w:t>
      </w:r>
      <w:bookmarkStart w:id="10" w:name="_GoBack"/>
      <w:bookmarkEnd w:id="9"/>
      <w:bookmarkEnd w:id="10"/>
    </w:p>
    <w:p w14:paraId="0C87C5CC" w14:textId="77777777" w:rsidR="001E0DB1" w:rsidRDefault="005B0129" w:rsidP="001E0DB1">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bookmarkStart w:id="11" w:name="_Toc124934911"/>
      <w:r w:rsidR="001E0DB1" w:rsidRPr="001E0DB1">
        <w:rPr>
          <w:rFonts w:ascii="Times New Roman" w:hAnsi="Times New Roman"/>
          <w:sz w:val="22"/>
          <w:szCs w:val="22"/>
        </w:rPr>
        <w:t>Preliminary technical acceptance is required and will be performed by the relevant expert in the name of the contracting authority.</w:t>
      </w:r>
    </w:p>
    <w:p w14:paraId="6EE8627F" w14:textId="4FBBCEA4" w:rsidR="0047783A" w:rsidRPr="003D6B6C" w:rsidRDefault="0047783A" w:rsidP="001E0DB1">
      <w:pPr>
        <w:jc w:val="both"/>
        <w:rPr>
          <w:rFonts w:ascii="Times New Roman" w:hAnsi="Times New Roman"/>
          <w:b/>
          <w:sz w:val="24"/>
          <w:szCs w:val="24"/>
        </w:rPr>
      </w:pPr>
      <w:r w:rsidRPr="003D6B6C">
        <w:rPr>
          <w:rFonts w:ascii="Times New Roman" w:hAnsi="Times New Roman"/>
          <w:b/>
          <w:sz w:val="24"/>
          <w:szCs w:val="24"/>
        </w:rPr>
        <w:lastRenderedPageBreak/>
        <w:t>Article 25</w:t>
      </w:r>
      <w:r w:rsidRPr="003D6B6C">
        <w:rPr>
          <w:rFonts w:ascii="Times New Roman" w:hAnsi="Times New Roman"/>
          <w:b/>
          <w:sz w:val="24"/>
          <w:szCs w:val="24"/>
        </w:rPr>
        <w:tab/>
        <w:t>Inspection and testing</w:t>
      </w:r>
      <w:bookmarkEnd w:id="11"/>
    </w:p>
    <w:p w14:paraId="64178ACF" w14:textId="22009F6F"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1E0DB1">
        <w:rPr>
          <w:rFonts w:ascii="Times New Roman" w:hAnsi="Times New Roman"/>
          <w:bCs/>
          <w:sz w:val="22"/>
          <w:szCs w:val="22"/>
        </w:rPr>
        <w:t xml:space="preserve">Equipment </w:t>
      </w:r>
      <w:r w:rsidR="001E0DB1" w:rsidRPr="00797011">
        <w:rPr>
          <w:rFonts w:ascii="Times New Roman" w:hAnsi="Times New Roman"/>
          <w:bCs/>
          <w:sz w:val="22"/>
          <w:szCs w:val="22"/>
        </w:rPr>
        <w:t>will b</w:t>
      </w:r>
      <w:r w:rsidR="001E0DB1" w:rsidRPr="002A1D97">
        <w:rPr>
          <w:rFonts w:ascii="Times New Roman" w:hAnsi="Times New Roman"/>
          <w:bCs/>
          <w:sz w:val="22"/>
          <w:szCs w:val="22"/>
        </w:rPr>
        <w:t>e inspected and tested in accordance with Article 25 of the general conditions and the practical arrangements for testing</w:t>
      </w:r>
      <w:r w:rsidR="001E0DB1">
        <w:rPr>
          <w:rFonts w:ascii="Times New Roman" w:hAnsi="Times New Roman"/>
          <w:bCs/>
          <w:sz w:val="22"/>
          <w:szCs w:val="22"/>
        </w:rPr>
        <w:t>.</w:t>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2"/>
      <w:r w:rsidR="005B0129" w:rsidRPr="003D6B6C">
        <w:rPr>
          <w:rFonts w:ascii="Times New Roman" w:hAnsi="Times New Roman"/>
          <w:b/>
          <w:sz w:val="24"/>
          <w:szCs w:val="24"/>
        </w:rPr>
        <w:t>General principles for payments</w:t>
      </w:r>
    </w:p>
    <w:p w14:paraId="6ECB3C62" w14:textId="52CDEB22" w:rsidR="0047783A" w:rsidRPr="003D6B6C" w:rsidRDefault="0047783A" w:rsidP="005D03AA">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49293D">
        <w:rPr>
          <w:rFonts w:ascii="Times New Roman" w:hAnsi="Times New Roman"/>
          <w:sz w:val="22"/>
          <w:szCs w:val="22"/>
        </w:rPr>
        <w:t xml:space="preserve"> </w:t>
      </w:r>
      <w:r w:rsidRPr="005A0C8A">
        <w:rPr>
          <w:rFonts w:ascii="Times New Roman" w:hAnsi="Times New Roman"/>
          <w:sz w:val="22"/>
          <w:szCs w:val="22"/>
        </w:rPr>
        <w:t>euro</w:t>
      </w:r>
      <w:r w:rsidR="00AB3AB0" w:rsidRPr="005A0C8A">
        <w:rPr>
          <w:rFonts w:ascii="Times New Roman" w:hAnsi="Times New Roman"/>
          <w:sz w:val="22"/>
          <w:szCs w:val="22"/>
        </w:rPr>
        <w:t>s</w:t>
      </w:r>
      <w:r w:rsidR="005A0C8A" w:rsidRPr="005A0C8A">
        <w:rPr>
          <w:rFonts w:ascii="Times New Roman" w:hAnsi="Times New Roman"/>
          <w:sz w:val="22"/>
          <w:szCs w:val="22"/>
        </w:rPr>
        <w:t>.</w:t>
      </w:r>
    </w:p>
    <w:p w14:paraId="5A54FF23" w14:textId="63B6BA26"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 xml:space="preserve">be authorised and made by </w:t>
      </w:r>
      <w:r w:rsidR="005A0C8A">
        <w:rPr>
          <w:rFonts w:ascii="Times New Roman" w:hAnsi="Times New Roman"/>
          <w:sz w:val="22"/>
          <w:szCs w:val="22"/>
        </w:rPr>
        <w:t>contracting authority</w:t>
      </w:r>
      <w:r w:rsidRPr="003D6B6C">
        <w:rPr>
          <w:rFonts w:ascii="Times New Roman" w:hAnsi="Times New Roman"/>
          <w:sz w:val="22"/>
          <w:szCs w:val="22"/>
        </w:rPr>
        <w:t>.</w:t>
      </w:r>
    </w:p>
    <w:p w14:paraId="15339C96" w14:textId="12704AD1" w:rsidR="008733D3" w:rsidRPr="003D6B6C" w:rsidRDefault="006D5CEE" w:rsidP="00830ED8">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Pr="005A0C8A">
        <w:rPr>
          <w:rFonts w:ascii="Times New Roman" w:hAnsi="Times New Roman"/>
          <w:sz w:val="22"/>
          <w:szCs w:val="22"/>
        </w:rPr>
        <w:t xml:space="preserve">By derogation, the final payment to the </w:t>
      </w:r>
      <w:r w:rsidR="00F60098" w:rsidRPr="005A0C8A">
        <w:rPr>
          <w:rFonts w:ascii="Times New Roman" w:hAnsi="Times New Roman"/>
          <w:sz w:val="22"/>
          <w:szCs w:val="22"/>
        </w:rPr>
        <w:t>c</w:t>
      </w:r>
      <w:r w:rsidRPr="005A0C8A">
        <w:rPr>
          <w:rFonts w:ascii="Times New Roman" w:hAnsi="Times New Roman"/>
          <w:sz w:val="22"/>
          <w:szCs w:val="22"/>
        </w:rPr>
        <w:t xml:space="preserve">ontractor of the amounts due shall be made within 90 days after receipt by the </w:t>
      </w:r>
      <w:r w:rsidR="00F60098" w:rsidRPr="005A0C8A">
        <w:rPr>
          <w:rFonts w:ascii="Times New Roman" w:hAnsi="Times New Roman"/>
          <w:sz w:val="22"/>
          <w:szCs w:val="22"/>
        </w:rPr>
        <w:t>c</w:t>
      </w:r>
      <w:r w:rsidRPr="005A0C8A">
        <w:rPr>
          <w:rFonts w:ascii="Times New Roman" w:hAnsi="Times New Roman"/>
          <w:sz w:val="22"/>
          <w:szCs w:val="22"/>
        </w:rPr>
        <w:t xml:space="preserve">ontracting </w:t>
      </w:r>
      <w:r w:rsidR="00F60098" w:rsidRPr="005A0C8A">
        <w:rPr>
          <w:rFonts w:ascii="Times New Roman" w:hAnsi="Times New Roman"/>
          <w:sz w:val="22"/>
          <w:szCs w:val="22"/>
        </w:rPr>
        <w:t>a</w:t>
      </w:r>
      <w:r w:rsidRPr="005A0C8A">
        <w:rPr>
          <w:rFonts w:ascii="Times New Roman" w:hAnsi="Times New Roman"/>
          <w:sz w:val="22"/>
          <w:szCs w:val="22"/>
        </w:rPr>
        <w:t>uthority of an invoice and of the application for the certificate of provisional acceptance</w:t>
      </w:r>
      <w:r w:rsidR="005A0C8A" w:rsidRPr="005A0C8A">
        <w:rPr>
          <w:rFonts w:ascii="Times New Roman" w:hAnsi="Times New Roman"/>
          <w:sz w:val="22"/>
          <w:szCs w:val="22"/>
        </w:rPr>
        <w:t>.</w:t>
      </w:r>
    </w:p>
    <w:p w14:paraId="780AD638" w14:textId="77777777"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14:paraId="6D40DE41" w14:textId="77777777" w:rsidR="001E0DB1" w:rsidRPr="003D6B6C" w:rsidRDefault="00035D61" w:rsidP="001E0DB1">
      <w:pPr>
        <w:ind w:left="1560" w:hanging="426"/>
        <w:jc w:val="both"/>
        <w:rPr>
          <w:rFonts w:ascii="Times New Roman" w:hAnsi="Times New Roman"/>
          <w:sz w:val="22"/>
          <w:szCs w:val="22"/>
        </w:rPr>
      </w:pPr>
      <w:r w:rsidRPr="003D6B6C">
        <w:rPr>
          <w:rFonts w:ascii="Times New Roman" w:hAnsi="Times New Roman"/>
          <w:sz w:val="22"/>
          <w:szCs w:val="22"/>
        </w:rPr>
        <w:t>a)</w:t>
      </w:r>
      <w:r w:rsidRPr="003D6B6C">
        <w:rPr>
          <w:rFonts w:ascii="Times New Roman" w:hAnsi="Times New Roman"/>
          <w:b/>
          <w:sz w:val="22"/>
          <w:szCs w:val="22"/>
        </w:rPr>
        <w:tab/>
      </w:r>
      <w:r w:rsidR="001E0DB1" w:rsidRPr="005D3440">
        <w:rPr>
          <w:rFonts w:ascii="Times New Roman" w:hAnsi="Times New Roman"/>
          <w:sz w:val="22"/>
          <w:szCs w:val="22"/>
        </w:rPr>
        <w:t>the invoice(s) in triplicate together with the request for provisional acceptance of the supplies. Payment will be realised after work is done.</w:t>
      </w:r>
    </w:p>
    <w:p w14:paraId="21DD1760" w14:textId="411E2EDF" w:rsidR="0047783A" w:rsidRPr="003D6B6C" w:rsidRDefault="0047783A" w:rsidP="006B145B">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008617C2" w:rsidRPr="008617C2">
        <w:rPr>
          <w:rFonts w:ascii="Times New Roman" w:hAnsi="Times New Roman"/>
          <w:sz w:val="22"/>
          <w:szCs w:val="22"/>
        </w:rPr>
        <w:t>T</w:t>
      </w:r>
      <w:r w:rsidRPr="008617C2">
        <w:rPr>
          <w:rFonts w:ascii="Times New Roman" w:hAnsi="Times New Roman"/>
          <w:color w:val="000000"/>
          <w:sz w:val="22"/>
          <w:szCs w:val="22"/>
        </w:rPr>
        <w:t xml:space="preserve">he </w:t>
      </w:r>
      <w:r w:rsidR="008617C2" w:rsidRPr="008617C2">
        <w:rPr>
          <w:rFonts w:ascii="Times New Roman" w:hAnsi="Times New Roman"/>
          <w:color w:val="000000"/>
          <w:sz w:val="22"/>
          <w:szCs w:val="22"/>
        </w:rPr>
        <w:t>C</w:t>
      </w:r>
      <w:r w:rsidR="0097513D" w:rsidRPr="008617C2">
        <w:rPr>
          <w:rFonts w:ascii="Times New Roman" w:hAnsi="Times New Roman"/>
          <w:color w:val="000000"/>
          <w:sz w:val="22"/>
          <w:szCs w:val="22"/>
        </w:rPr>
        <w:t>ontract</w:t>
      </w:r>
      <w:r w:rsidR="008617C2" w:rsidRPr="008617C2">
        <w:rPr>
          <w:rFonts w:ascii="Times New Roman" w:hAnsi="Times New Roman"/>
          <w:color w:val="000000"/>
          <w:sz w:val="22"/>
          <w:szCs w:val="22"/>
        </w:rPr>
        <w:t xml:space="preserve"> does not</w:t>
      </w:r>
      <w:r w:rsidRPr="008617C2">
        <w:rPr>
          <w:rFonts w:ascii="Times New Roman" w:hAnsi="Times New Roman"/>
          <w:color w:val="000000"/>
          <w:sz w:val="22"/>
          <w:szCs w:val="22"/>
        </w:rPr>
        <w:t xml:space="preserve"> include a price revision clause.</w:t>
      </w:r>
    </w:p>
    <w:p w14:paraId="39D67CE4" w14:textId="77777777" w:rsidR="0047783A" w:rsidRPr="003D6B6C" w:rsidRDefault="0047783A" w:rsidP="00B34179">
      <w:pPr>
        <w:spacing w:before="240"/>
        <w:ind w:left="1134" w:hanging="1134"/>
        <w:jc w:val="both"/>
        <w:rPr>
          <w:rFonts w:ascii="Times New Roman" w:hAnsi="Times New Roman"/>
          <w:b/>
          <w:sz w:val="24"/>
          <w:szCs w:val="24"/>
        </w:rPr>
      </w:pPr>
      <w:bookmarkStart w:id="13"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3B64B1B3" w14:textId="0B79C1CF" w:rsidR="0047783A" w:rsidRPr="003D6B6C" w:rsidRDefault="0047783A" w:rsidP="00BE1BF1">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BE1BF1">
        <w:rPr>
          <w:rFonts w:ascii="Times New Roman" w:hAnsi="Times New Roman"/>
          <w:snapToGrid/>
          <w:sz w:val="22"/>
          <w:szCs w:val="22"/>
          <w:lang w:eastAsia="en-GB"/>
        </w:rPr>
        <w:t xml:space="preserve">By derogation from Article 28.2 of the </w:t>
      </w:r>
      <w:r w:rsidR="00F60098" w:rsidRPr="00BE1BF1">
        <w:rPr>
          <w:rFonts w:ascii="Times New Roman" w:hAnsi="Times New Roman"/>
          <w:snapToGrid/>
          <w:sz w:val="22"/>
          <w:szCs w:val="22"/>
          <w:lang w:eastAsia="en-GB"/>
        </w:rPr>
        <w:t>g</w:t>
      </w:r>
      <w:r w:rsidRPr="00BE1BF1">
        <w:rPr>
          <w:rFonts w:ascii="Times New Roman" w:hAnsi="Times New Roman"/>
          <w:snapToGrid/>
          <w:sz w:val="22"/>
          <w:szCs w:val="22"/>
          <w:lang w:eastAsia="en-GB"/>
        </w:rPr>
        <w:t xml:space="preserve">eneral </w:t>
      </w:r>
      <w:r w:rsidR="00F60098" w:rsidRPr="00BE1BF1">
        <w:rPr>
          <w:rFonts w:ascii="Times New Roman" w:hAnsi="Times New Roman"/>
          <w:snapToGrid/>
          <w:sz w:val="22"/>
          <w:szCs w:val="22"/>
          <w:lang w:eastAsia="en-GB"/>
        </w:rPr>
        <w:t>c</w:t>
      </w:r>
      <w:r w:rsidRPr="00BE1BF1">
        <w:rPr>
          <w:rFonts w:ascii="Times New Roman" w:hAnsi="Times New Roman"/>
          <w:snapToGrid/>
          <w:sz w:val="22"/>
          <w:szCs w:val="22"/>
          <w:lang w:eastAsia="en-GB"/>
        </w:rPr>
        <w:t>onditions, o</w:t>
      </w:r>
      <w:r w:rsidRPr="00BE1BF1">
        <w:rPr>
          <w:rFonts w:ascii="Times New Roman" w:hAnsi="Times New Roman"/>
          <w:sz w:val="22"/>
          <w:szCs w:val="22"/>
        </w:rPr>
        <w:t>nce the deadline laid down in Article 2</w:t>
      </w:r>
      <w:r w:rsidR="00D83918" w:rsidRPr="00BE1BF1">
        <w:rPr>
          <w:rFonts w:ascii="Times New Roman" w:hAnsi="Times New Roman"/>
          <w:sz w:val="22"/>
          <w:szCs w:val="22"/>
        </w:rPr>
        <w:t>6.3</w:t>
      </w:r>
      <w:r w:rsidRPr="00BE1BF1">
        <w:rPr>
          <w:rFonts w:ascii="Times New Roman" w:hAnsi="Times New Roman"/>
          <w:sz w:val="22"/>
          <w:szCs w:val="22"/>
        </w:rPr>
        <w:t xml:space="preserve"> has expired, the </w:t>
      </w:r>
      <w:r w:rsidR="00F60098" w:rsidRPr="00BE1BF1">
        <w:rPr>
          <w:rFonts w:ascii="Times New Roman" w:hAnsi="Times New Roman"/>
          <w:sz w:val="22"/>
          <w:szCs w:val="22"/>
        </w:rPr>
        <w:t>c</w:t>
      </w:r>
      <w:r w:rsidRPr="00BE1BF1">
        <w:rPr>
          <w:rFonts w:ascii="Times New Roman" w:hAnsi="Times New Roman"/>
          <w:sz w:val="22"/>
          <w:szCs w:val="22"/>
        </w:rPr>
        <w:t xml:space="preserve">ontractor </w:t>
      </w:r>
      <w:r w:rsidR="00551543" w:rsidRPr="00BE1BF1">
        <w:rPr>
          <w:rFonts w:ascii="Times New Roman" w:hAnsi="Times New Roman"/>
          <w:sz w:val="22"/>
          <w:szCs w:val="22"/>
        </w:rPr>
        <w:t>sha</w:t>
      </w:r>
      <w:r w:rsidR="006D3BA1" w:rsidRPr="00BE1BF1">
        <w:rPr>
          <w:rFonts w:ascii="Times New Roman" w:hAnsi="Times New Roman"/>
          <w:sz w:val="22"/>
          <w:szCs w:val="22"/>
        </w:rPr>
        <w:t>ll,</w:t>
      </w:r>
      <w:r w:rsidRPr="00BE1BF1">
        <w:rPr>
          <w:rFonts w:ascii="Times New Roman" w:hAnsi="Times New Roman"/>
          <w:sz w:val="22"/>
          <w:szCs w:val="22"/>
        </w:rPr>
        <w:t xml:space="preserve"> upon demand, </w:t>
      </w:r>
      <w:r w:rsidR="006D3BA1" w:rsidRPr="00BE1BF1">
        <w:rPr>
          <w:rFonts w:ascii="Times New Roman" w:hAnsi="Times New Roman"/>
          <w:sz w:val="22"/>
          <w:szCs w:val="22"/>
        </w:rPr>
        <w:t xml:space="preserve">be entitled to late-payment interest </w:t>
      </w:r>
      <w:r w:rsidR="00117ADA" w:rsidRPr="00BE1BF1">
        <w:rPr>
          <w:rFonts w:ascii="Times New Roman" w:hAnsi="Times New Roman"/>
          <w:sz w:val="22"/>
          <w:szCs w:val="22"/>
        </w:rPr>
        <w:t xml:space="preserve">at the rate and for the period mentioned in the </w:t>
      </w:r>
      <w:r w:rsidR="00F60098" w:rsidRPr="00BE1BF1">
        <w:rPr>
          <w:rFonts w:ascii="Times New Roman" w:hAnsi="Times New Roman"/>
          <w:sz w:val="22"/>
          <w:szCs w:val="22"/>
        </w:rPr>
        <w:t>g</w:t>
      </w:r>
      <w:r w:rsidR="00117ADA" w:rsidRPr="00BE1BF1">
        <w:rPr>
          <w:rFonts w:ascii="Times New Roman" w:hAnsi="Times New Roman"/>
          <w:sz w:val="22"/>
          <w:szCs w:val="22"/>
        </w:rPr>
        <w:t xml:space="preserve">eneral </w:t>
      </w:r>
      <w:r w:rsidR="00F60098" w:rsidRPr="00BE1BF1">
        <w:rPr>
          <w:rFonts w:ascii="Times New Roman" w:hAnsi="Times New Roman"/>
          <w:sz w:val="22"/>
          <w:szCs w:val="22"/>
        </w:rPr>
        <w:t>c</w:t>
      </w:r>
      <w:r w:rsidR="00117ADA" w:rsidRPr="00BE1BF1">
        <w:rPr>
          <w:rFonts w:ascii="Times New Roman" w:hAnsi="Times New Roman"/>
          <w:sz w:val="22"/>
          <w:szCs w:val="22"/>
        </w:rPr>
        <w:t>onditions</w:t>
      </w:r>
      <w:r w:rsidR="006D3BA1" w:rsidRPr="00BE1BF1">
        <w:rPr>
          <w:rFonts w:ascii="Times New Roman" w:hAnsi="Times New Roman"/>
          <w:sz w:val="22"/>
          <w:szCs w:val="22"/>
        </w:rPr>
        <w:t xml:space="preserve">. The demand must be </w:t>
      </w:r>
      <w:r w:rsidRPr="00BE1BF1">
        <w:rPr>
          <w:rFonts w:ascii="Times New Roman" w:hAnsi="Times New Roman"/>
          <w:sz w:val="22"/>
          <w:szCs w:val="22"/>
        </w:rPr>
        <w:t>submitted within two months of receiving late payment.</w:t>
      </w:r>
    </w:p>
    <w:p w14:paraId="210201A9" w14:textId="7777777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3"/>
    </w:p>
    <w:p w14:paraId="37672206" w14:textId="65033C23" w:rsidR="0047783A" w:rsidRPr="003D6B6C" w:rsidRDefault="0047783A" w:rsidP="007301B5">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Pr="007301B5">
        <w:rPr>
          <w:rFonts w:ascii="Times New Roman" w:hAnsi="Times New Roman"/>
          <w:sz w:val="22"/>
          <w:szCs w:val="22"/>
        </w:rPr>
        <w:t xml:space="preserve">The packaging </w:t>
      </w:r>
      <w:r w:rsidR="00551543" w:rsidRPr="007301B5">
        <w:rPr>
          <w:rFonts w:ascii="Times New Roman" w:hAnsi="Times New Roman"/>
          <w:sz w:val="22"/>
          <w:szCs w:val="22"/>
        </w:rPr>
        <w:t>sha</w:t>
      </w:r>
      <w:r w:rsidR="008C4E79" w:rsidRPr="007301B5">
        <w:rPr>
          <w:rFonts w:ascii="Times New Roman" w:hAnsi="Times New Roman"/>
          <w:sz w:val="22"/>
          <w:szCs w:val="22"/>
        </w:rPr>
        <w:t>ll</w:t>
      </w:r>
      <w:r w:rsidRPr="007301B5">
        <w:rPr>
          <w:rFonts w:ascii="Times New Roman" w:hAnsi="Times New Roman"/>
          <w:sz w:val="22"/>
          <w:szCs w:val="22"/>
        </w:rPr>
        <w:t xml:space="preserve"> become the property of the recipient subject to environment</w:t>
      </w:r>
      <w:r w:rsidR="006D3BA1" w:rsidRPr="007301B5">
        <w:rPr>
          <w:rFonts w:ascii="Times New Roman" w:hAnsi="Times New Roman"/>
          <w:sz w:val="22"/>
          <w:szCs w:val="22"/>
        </w:rPr>
        <w:t>al considerations</w:t>
      </w:r>
      <w:r w:rsidRPr="007301B5">
        <w:rPr>
          <w:rFonts w:ascii="Times New Roman" w:hAnsi="Times New Roman"/>
          <w:sz w:val="22"/>
          <w:szCs w:val="22"/>
        </w:rPr>
        <w:t>.</w:t>
      </w:r>
    </w:p>
    <w:p w14:paraId="7C1E7DCB" w14:textId="06A866A0" w:rsidR="0047783A" w:rsidRPr="003D6B6C" w:rsidRDefault="0047783A" w:rsidP="00B34179">
      <w:pPr>
        <w:spacing w:before="240"/>
        <w:ind w:left="1134" w:hanging="1134"/>
        <w:jc w:val="both"/>
        <w:rPr>
          <w:rFonts w:ascii="Times New Roman" w:hAnsi="Times New Roman"/>
          <w:b/>
          <w:sz w:val="24"/>
          <w:szCs w:val="24"/>
        </w:rPr>
      </w:pPr>
      <w:bookmarkStart w:id="14"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4"/>
    </w:p>
    <w:p w14:paraId="38CCDEFD" w14:textId="6C9B4DC9" w:rsidR="0047783A" w:rsidRPr="003D6B6C" w:rsidRDefault="0047783A" w:rsidP="001B55AC">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 xml:space="preserve">C11. </w:t>
      </w:r>
    </w:p>
    <w:p w14:paraId="6D19FB26" w14:textId="77777777" w:rsidR="0047783A" w:rsidRPr="003D6B6C" w:rsidRDefault="0047783A" w:rsidP="00B34179">
      <w:pPr>
        <w:spacing w:before="240"/>
        <w:ind w:left="1134" w:hanging="1134"/>
        <w:jc w:val="both"/>
        <w:rPr>
          <w:rFonts w:ascii="Times New Roman" w:hAnsi="Times New Roman"/>
          <w:b/>
          <w:sz w:val="24"/>
          <w:szCs w:val="24"/>
        </w:rPr>
      </w:pPr>
      <w:bookmarkStart w:id="15"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5"/>
      <w:r w:rsidR="00177A94" w:rsidRPr="003D6B6C">
        <w:rPr>
          <w:rFonts w:ascii="Times New Roman" w:hAnsi="Times New Roman"/>
          <w:b/>
          <w:sz w:val="24"/>
          <w:szCs w:val="24"/>
        </w:rPr>
        <w:t xml:space="preserve"> obligations</w:t>
      </w:r>
    </w:p>
    <w:p w14:paraId="18C4D014" w14:textId="016322E0"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32.6</w:t>
      </w:r>
      <w:r w:rsidRPr="003D6B6C">
        <w:rPr>
          <w:rFonts w:ascii="Times New Roman" w:hAnsi="Times New Roman"/>
          <w:sz w:val="22"/>
          <w:szCs w:val="22"/>
        </w:rPr>
        <w:tab/>
      </w:r>
      <w:r w:rsidR="00D20331" w:rsidRPr="00D20331">
        <w:rPr>
          <w:rFonts w:ascii="Times New Roman" w:hAnsi="Times New Roman"/>
          <w:sz w:val="22"/>
          <w:szCs w:val="22"/>
        </w:rPr>
        <w:t>Contractor has an obligation to deliver commercial warranty, specifying terms and conditions in details.</w:t>
      </w:r>
    </w:p>
    <w:p w14:paraId="516F443D" w14:textId="17205F74"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r>
      <w:r w:rsidR="00D20331" w:rsidRPr="00D20331">
        <w:rPr>
          <w:rFonts w:ascii="Times New Roman" w:hAnsi="Times New Roman"/>
          <w:sz w:val="22"/>
          <w:szCs w:val="22"/>
        </w:rPr>
        <w:t>The warranty must remain valid for one year (12 months) after provisional acceptance.</w:t>
      </w:r>
    </w:p>
    <w:p w14:paraId="3499C21C" w14:textId="77777777" w:rsidR="0047783A" w:rsidRPr="003D6B6C" w:rsidRDefault="0047783A" w:rsidP="00B34179">
      <w:pPr>
        <w:spacing w:before="240"/>
        <w:ind w:left="1134" w:hanging="1134"/>
        <w:jc w:val="both"/>
        <w:rPr>
          <w:rFonts w:ascii="Times New Roman" w:hAnsi="Times New Roman"/>
          <w:b/>
          <w:sz w:val="24"/>
          <w:szCs w:val="24"/>
        </w:rPr>
      </w:pPr>
      <w:bookmarkStart w:id="16" w:name="_Toc119839451"/>
      <w:bookmarkStart w:id="17"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16"/>
      <w:bookmarkEnd w:id="17"/>
    </w:p>
    <w:p w14:paraId="09B87FDF" w14:textId="05AEBFE6"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lastRenderedPageBreak/>
        <w:t>33.1</w:t>
      </w:r>
      <w:r w:rsidRPr="003D6B6C">
        <w:rPr>
          <w:rFonts w:ascii="Times New Roman" w:hAnsi="Times New Roman"/>
          <w:sz w:val="22"/>
          <w:szCs w:val="22"/>
        </w:rPr>
        <w:tab/>
      </w:r>
      <w:r w:rsidR="00205470" w:rsidRPr="00205470">
        <w:rPr>
          <w:rFonts w:ascii="Times New Roman" w:hAnsi="Times New Roman"/>
          <w:sz w:val="22"/>
          <w:szCs w:val="22"/>
        </w:rPr>
        <w:t>The contractor has to undertake installation, maintenance and repair according to the commercial warranty (32.6).</w:t>
      </w:r>
    </w:p>
    <w:p w14:paraId="060E3D5F" w14:textId="77777777" w:rsidR="0047783A" w:rsidRPr="003D6B6C" w:rsidRDefault="0047783A" w:rsidP="00B34179">
      <w:pPr>
        <w:spacing w:before="240"/>
        <w:ind w:left="1134" w:hanging="1134"/>
        <w:jc w:val="both"/>
        <w:rPr>
          <w:rFonts w:ascii="Times New Roman" w:hAnsi="Times New Roman"/>
          <w:b/>
          <w:sz w:val="24"/>
          <w:szCs w:val="24"/>
        </w:rPr>
      </w:pPr>
      <w:bookmarkStart w:id="18"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18"/>
    </w:p>
    <w:p w14:paraId="0F81555E" w14:textId="200106F9"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54141C" w:rsidRPr="0054141C">
        <w:rPr>
          <w:rFonts w:ascii="Times New Roman" w:hAnsi="Times New Roman"/>
          <w:sz w:val="22"/>
          <w:szCs w:val="22"/>
        </w:rPr>
        <w:t>Any disputes arising out of or relating to this contract which cannot be settled otherwise shall be referred to the exclusive jurisdiction of Commercial Court in Podgorica in accordance with the national legislation of the state of the contracting authority.</w:t>
      </w:r>
    </w:p>
    <w:p w14:paraId="53F35545" w14:textId="77777777" w:rsidR="00407C90" w:rsidRPr="0054141C" w:rsidRDefault="00407C90" w:rsidP="00407C90">
      <w:pPr>
        <w:keepNext/>
        <w:keepLines/>
        <w:tabs>
          <w:tab w:val="left" w:pos="1134"/>
        </w:tabs>
        <w:spacing w:before="240"/>
        <w:ind w:left="1134" w:hanging="1134"/>
        <w:rPr>
          <w:rFonts w:ascii="Times New Roman" w:hAnsi="Times New Roman"/>
          <w:b/>
          <w:sz w:val="24"/>
          <w:szCs w:val="24"/>
        </w:rPr>
      </w:pPr>
      <w:r w:rsidRPr="0054141C">
        <w:rPr>
          <w:rFonts w:ascii="Times New Roman" w:hAnsi="Times New Roman"/>
          <w:b/>
          <w:sz w:val="24"/>
          <w:szCs w:val="24"/>
        </w:rPr>
        <w:t>Article 44</w:t>
      </w:r>
      <w:r w:rsidRPr="0054141C">
        <w:rPr>
          <w:rFonts w:ascii="Times New Roman" w:hAnsi="Times New Roman"/>
          <w:b/>
          <w:sz w:val="24"/>
          <w:szCs w:val="24"/>
        </w:rPr>
        <w:tab/>
        <w:t xml:space="preserve">Data </w:t>
      </w:r>
      <w:r w:rsidR="00686E07" w:rsidRPr="0054141C">
        <w:rPr>
          <w:rFonts w:ascii="Times New Roman" w:hAnsi="Times New Roman"/>
          <w:b/>
          <w:sz w:val="24"/>
          <w:szCs w:val="24"/>
        </w:rPr>
        <w:t>p</w:t>
      </w:r>
      <w:r w:rsidRPr="0054141C">
        <w:rPr>
          <w:rFonts w:ascii="Times New Roman" w:hAnsi="Times New Roman"/>
          <w:b/>
          <w:sz w:val="24"/>
          <w:szCs w:val="24"/>
        </w:rPr>
        <w:t>rotection</w:t>
      </w:r>
    </w:p>
    <w:p w14:paraId="5F3FDACE" w14:textId="5826DBFB" w:rsidR="009F7E6A" w:rsidRPr="0054141C" w:rsidRDefault="009F7E6A" w:rsidP="009F7E6A">
      <w:pPr>
        <w:jc w:val="both"/>
        <w:rPr>
          <w:rFonts w:ascii="Times New Roman" w:hAnsi="Times New Roman"/>
          <w:sz w:val="22"/>
          <w:szCs w:val="22"/>
        </w:rPr>
      </w:pPr>
      <w:r w:rsidRPr="0054141C">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FB9F325" w14:textId="65D2074B" w:rsidR="009F7E6A" w:rsidRPr="00F4288C" w:rsidRDefault="009F7E6A" w:rsidP="009F7E6A">
      <w:pPr>
        <w:jc w:val="both"/>
        <w:rPr>
          <w:rFonts w:ascii="Times New Roman" w:hAnsi="Times New Roman"/>
          <w:sz w:val="22"/>
          <w:szCs w:val="22"/>
          <w:u w:val="single"/>
        </w:rPr>
      </w:pPr>
      <w:r w:rsidRPr="0054141C">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54141C">
        <w:rPr>
          <w:rStyle w:val="FootnoteReference"/>
          <w:rFonts w:ascii="Times New Roman" w:hAnsi="Times New Roman"/>
          <w:sz w:val="22"/>
          <w:szCs w:val="22"/>
        </w:rPr>
        <w:footnoteReference w:id="2"/>
      </w:r>
      <w:r w:rsidRPr="0054141C">
        <w:rPr>
          <w:rFonts w:ascii="Times New Roman" w:hAnsi="Times New Roman"/>
          <w:sz w:val="22"/>
          <w:szCs w:val="22"/>
        </w:rPr>
        <w:t xml:space="preserve"> and as detailed in the specific privacy statement published at ePRAG.</w:t>
      </w:r>
    </w:p>
    <w:p w14:paraId="016C5FE5"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headerReference w:type="default" r:id="rId11"/>
      <w:footerReference w:type="even" r:id="rId12"/>
      <w:footerReference w:type="default" r:id="rId13"/>
      <w:footerReference w:type="first" r:id="rId14"/>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9B6A" w14:textId="77777777" w:rsidR="00123242" w:rsidRPr="006A5F84" w:rsidRDefault="00123242">
      <w:r w:rsidRPr="006A5F84">
        <w:separator/>
      </w:r>
    </w:p>
  </w:endnote>
  <w:endnote w:type="continuationSeparator" w:id="0">
    <w:p w14:paraId="71258237" w14:textId="77777777" w:rsidR="00123242" w:rsidRPr="006A5F84" w:rsidRDefault="00123242">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2995" w14:textId="0A6C19FA" w:rsidR="007E36E3" w:rsidRPr="00FE689C" w:rsidRDefault="001E0DB1"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Style w:val="PageNumber"/>
        <w:rFonts w:ascii="Times New Roman" w:hAnsi="Times New Roman"/>
        <w:sz w:val="18"/>
        <w:szCs w:val="18"/>
      </w:rPr>
      <w:t>Special conditions</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ED4169">
      <w:rPr>
        <w:rStyle w:val="PageNumber"/>
        <w:rFonts w:ascii="Times New Roman" w:hAnsi="Times New Roman"/>
        <w:noProof/>
        <w:sz w:val="18"/>
        <w:szCs w:val="18"/>
        <w:lang w:val="en-GB"/>
      </w:rPr>
      <w:t>2</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ED4169">
      <w:rPr>
        <w:rStyle w:val="PageNumber"/>
        <w:rFonts w:ascii="Times New Roman" w:hAnsi="Times New Roman"/>
        <w:noProof/>
        <w:sz w:val="18"/>
        <w:szCs w:val="18"/>
        <w:lang w:val="en-GB"/>
      </w:rPr>
      <w:t>4</w:t>
    </w:r>
    <w:r w:rsidR="007E36E3" w:rsidRPr="009423FB">
      <w:rPr>
        <w:rStyle w:val="PageNumbe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6063B" w14:textId="77777777" w:rsidR="00123242" w:rsidRPr="006A5F84" w:rsidRDefault="00123242">
      <w:r w:rsidRPr="006A5F84">
        <w:separator/>
      </w:r>
    </w:p>
  </w:footnote>
  <w:footnote w:type="continuationSeparator" w:id="0">
    <w:p w14:paraId="29482FE8" w14:textId="77777777" w:rsidR="00123242" w:rsidRPr="006A5F84" w:rsidRDefault="00123242">
      <w:r w:rsidRPr="006A5F84">
        <w:continuationSeparator/>
      </w:r>
    </w:p>
  </w:footnote>
  <w:footnote w:id="1">
    <w:p w14:paraId="707595D1" w14:textId="77777777" w:rsidR="00304FA1" w:rsidRPr="00C73F87" w:rsidRDefault="00304FA1" w:rsidP="00304FA1">
      <w:pPr>
        <w:pStyle w:val="FootnoteText"/>
        <w:rPr>
          <w:lang w:val="en-GB"/>
        </w:rPr>
      </w:pPr>
      <w:r w:rsidRPr="003D6B6C">
        <w:rPr>
          <w:rStyle w:val="FootnoteReference"/>
        </w:rPr>
        <w:footnoteRef/>
      </w:r>
      <w:r w:rsidRPr="00C73F87">
        <w:rPr>
          <w:lang w:val="en-GB"/>
        </w:rPr>
        <w:t xml:space="preserve"> See </w:t>
      </w:r>
      <w:hyperlink r:id="rId1" w:history="1">
        <w:r>
          <w:rPr>
            <w:rStyle w:val="Hyperlink"/>
            <w:lang w:val="en-GB"/>
          </w:rPr>
          <w:t>http://www.iccwbo.org/incoterms/</w:t>
        </w:r>
      </w:hyperlink>
    </w:p>
  </w:footnote>
  <w:footnote w:id="2">
    <w:p w14:paraId="613D5799" w14:textId="77777777" w:rsidR="009F7E6A" w:rsidRDefault="009F7E6A" w:rsidP="009F7E6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EC7C" w14:textId="454DDBAA" w:rsidR="00E848BF" w:rsidRPr="00E848BF" w:rsidRDefault="00123242" w:rsidP="00E848BF">
    <w:pPr>
      <w:tabs>
        <w:tab w:val="center" w:pos="4320"/>
        <w:tab w:val="right" w:pos="8640"/>
      </w:tabs>
      <w:rPr>
        <w:lang w:val="sv-SE"/>
      </w:rPr>
    </w:pPr>
    <w:r>
      <w:rPr>
        <w:rFonts w:ascii="Times New Roman" w:hAnsi="Times New Roman"/>
        <w:noProof/>
        <w:snapToGrid/>
        <w:sz w:val="24"/>
        <w:lang w:val="en-US"/>
      </w:rPr>
      <w:pict w14:anchorId="6C1B6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2049" type="#_x0000_t75" alt="Statut, grb i zastava | Opština Bar" style="position:absolute;margin-left:290.7pt;margin-top:48pt;width:31.5pt;height:24.75pt;z-index:1;visibility:visible;mso-wrap-style:square;mso-position-horizontal-relative:text;mso-position-vertical-relative:page;mso-width-relative:page;mso-height-relative:page" wrapcoords="5657 0 3086 0 -514 6545 -514 17673 1543 20945 6686 20945 14400 20945 19543 20945 21600 17673 21600 6545 18000 0 15429 0 5657 0">
          <v:imagedata r:id="rId1" o:title="Statut, grb i zastava | Opština Bar"/>
          <w10:wrap anchory="page"/>
        </v:shape>
      </w:pict>
    </w:r>
    <w:r>
      <w:rPr>
        <w:rFonts w:ascii="Times New Roman" w:hAnsi="Times New Roman"/>
        <w:noProof/>
        <w:sz w:val="24"/>
        <w:lang w:val="en-US"/>
      </w:rPr>
      <w:pict w14:anchorId="7232D9F2">
        <v:shape id="Picture 65" o:spid="_x0000_i1025" type="#_x0000_t75" style="width:276.75pt;height:55.5pt;visibility:visible;mso-wrap-style:squar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3242"/>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0DB1"/>
    <w:rsid w:val="001E2362"/>
    <w:rsid w:val="001E4648"/>
    <w:rsid w:val="001F410B"/>
    <w:rsid w:val="001F5048"/>
    <w:rsid w:val="001F5421"/>
    <w:rsid w:val="00200A60"/>
    <w:rsid w:val="002012E1"/>
    <w:rsid w:val="00205470"/>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04FA1"/>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337E"/>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4141C"/>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0C8A"/>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01B5"/>
    <w:rsid w:val="00732495"/>
    <w:rsid w:val="0073450F"/>
    <w:rsid w:val="007520CA"/>
    <w:rsid w:val="0075384B"/>
    <w:rsid w:val="007552DC"/>
    <w:rsid w:val="00760195"/>
    <w:rsid w:val="007625F7"/>
    <w:rsid w:val="00763299"/>
    <w:rsid w:val="00763B1C"/>
    <w:rsid w:val="007666CD"/>
    <w:rsid w:val="00775EE7"/>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0ED8"/>
    <w:rsid w:val="00833EBD"/>
    <w:rsid w:val="008413B3"/>
    <w:rsid w:val="008428B9"/>
    <w:rsid w:val="00853F9D"/>
    <w:rsid w:val="00855409"/>
    <w:rsid w:val="0085667F"/>
    <w:rsid w:val="008617C2"/>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4F99"/>
    <w:rsid w:val="009F7E6A"/>
    <w:rsid w:val="00A039CA"/>
    <w:rsid w:val="00A04004"/>
    <w:rsid w:val="00A11551"/>
    <w:rsid w:val="00A11F12"/>
    <w:rsid w:val="00A1746F"/>
    <w:rsid w:val="00A2645C"/>
    <w:rsid w:val="00A3108A"/>
    <w:rsid w:val="00A41B28"/>
    <w:rsid w:val="00A5099A"/>
    <w:rsid w:val="00A512A5"/>
    <w:rsid w:val="00A512C9"/>
    <w:rsid w:val="00A539E4"/>
    <w:rsid w:val="00A56046"/>
    <w:rsid w:val="00A62073"/>
    <w:rsid w:val="00A63E3C"/>
    <w:rsid w:val="00A665A2"/>
    <w:rsid w:val="00A72C82"/>
    <w:rsid w:val="00A75650"/>
    <w:rsid w:val="00A76A6E"/>
    <w:rsid w:val="00A845B1"/>
    <w:rsid w:val="00A85BDF"/>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AF5F5D"/>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1BF1"/>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7DE2"/>
    <w:rsid w:val="00CD68C0"/>
    <w:rsid w:val="00CD6FC9"/>
    <w:rsid w:val="00CD7F25"/>
    <w:rsid w:val="00CF2DE2"/>
    <w:rsid w:val="00CF30C4"/>
    <w:rsid w:val="00CF6CFA"/>
    <w:rsid w:val="00D02E23"/>
    <w:rsid w:val="00D11009"/>
    <w:rsid w:val="00D131B2"/>
    <w:rsid w:val="00D20331"/>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48BF"/>
    <w:rsid w:val="00E85F91"/>
    <w:rsid w:val="00E87734"/>
    <w:rsid w:val="00EA63E1"/>
    <w:rsid w:val="00EB2C4D"/>
    <w:rsid w:val="00EB32E9"/>
    <w:rsid w:val="00EB3F46"/>
    <w:rsid w:val="00EB45CB"/>
    <w:rsid w:val="00EB78F4"/>
    <w:rsid w:val="00EC51B6"/>
    <w:rsid w:val="00ED4169"/>
    <w:rsid w:val="00EE0ED9"/>
    <w:rsid w:val="00EE23B1"/>
    <w:rsid w:val="00EE2E55"/>
    <w:rsid w:val="00EE456E"/>
    <w:rsid w:val="00EE7E91"/>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47DF"/>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A76C2"/>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3E2A"/>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97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val="en-GB"/>
    </w:rPr>
  </w:style>
  <w:style w:type="paragraph" w:customStyle="1" w:styleId="Default">
    <w:name w:val="Default"/>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nezana.markovic@bar.me" TargetMode="External"/><Relationship Id="rId4" Type="http://schemas.microsoft.com/office/2007/relationships/stylesWithEffects" Target="stylesWithEffects.xml"/><Relationship Id="rId9" Type="http://schemas.openxmlformats.org/officeDocument/2006/relationships/hyperlink" Target="mailto:ana.zivanovic@bar.me"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7DCA-5456-4BA5-8615-77EAF252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8337</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Ana Zivanovic</cp:lastModifiedBy>
  <cp:revision>46</cp:revision>
  <cp:lastPrinted>2014-02-11T14:32:00Z</cp:lastPrinted>
  <dcterms:created xsi:type="dcterms:W3CDTF">2018-12-18T11:40:00Z</dcterms:created>
  <dcterms:modified xsi:type="dcterms:W3CDTF">2021-10-26T09:37:00Z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