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2" w:rsidRPr="004B04ED" w:rsidRDefault="000A0632" w:rsidP="00B91C6E">
      <w:pPr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sz w:val="24"/>
          <w:szCs w:val="24"/>
        </w:rPr>
        <w:t>OPŠTINA BAR</w:t>
      </w:r>
    </w:p>
    <w:p w:rsidR="000A0632" w:rsidRPr="000A0632" w:rsidRDefault="000A0632" w:rsidP="00B91C6E">
      <w:pPr>
        <w:rPr>
          <w:rFonts w:ascii="Arial" w:hAnsi="Arial" w:cs="Arial"/>
          <w:sz w:val="24"/>
          <w:szCs w:val="24"/>
        </w:rPr>
      </w:pPr>
      <w:r w:rsidRPr="000A0632">
        <w:rPr>
          <w:rFonts w:ascii="Arial" w:hAnsi="Arial" w:cs="Arial"/>
          <w:sz w:val="24"/>
          <w:szCs w:val="24"/>
        </w:rPr>
        <w:t>Komisija za sprovođenje postupka</w:t>
      </w:r>
      <w:r w:rsidR="00177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A0632">
        <w:rPr>
          <w:rFonts w:ascii="Arial" w:hAnsi="Arial" w:cs="Arial"/>
          <w:sz w:val="24"/>
          <w:szCs w:val="24"/>
        </w:rPr>
        <w:t>avnog nadmetanja</w:t>
      </w:r>
    </w:p>
    <w:p w:rsidR="000201C2" w:rsidRPr="009639F7" w:rsidRDefault="003E7ABD" w:rsidP="00B91C6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Broj: 01-</w:t>
      </w:r>
      <w:r w:rsidR="000835F8">
        <w:rPr>
          <w:rFonts w:ascii="Arial" w:hAnsi="Arial" w:cs="Arial"/>
          <w:sz w:val="22"/>
          <w:szCs w:val="22"/>
          <w:lang w:val="sv-SE"/>
        </w:rPr>
        <w:t>1074/2</w:t>
      </w:r>
    </w:p>
    <w:p w:rsidR="000201C2" w:rsidRPr="009639F7" w:rsidRDefault="000201C2" w:rsidP="00B91C6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Bar,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835F8">
        <w:rPr>
          <w:rFonts w:ascii="Arial" w:hAnsi="Arial" w:cs="Arial"/>
          <w:sz w:val="22"/>
          <w:szCs w:val="22"/>
        </w:rPr>
        <w:t>12.04.</w:t>
      </w:r>
      <w:r w:rsidR="002D2F5D">
        <w:rPr>
          <w:rFonts w:ascii="Arial" w:hAnsi="Arial" w:cs="Arial"/>
          <w:sz w:val="22"/>
          <w:szCs w:val="22"/>
        </w:rPr>
        <w:t>2019</w:t>
      </w:r>
      <w:r w:rsidRPr="00963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39F7">
        <w:rPr>
          <w:rFonts w:ascii="Arial" w:hAnsi="Arial" w:cs="Arial"/>
          <w:sz w:val="22"/>
          <w:szCs w:val="22"/>
        </w:rPr>
        <w:t>godine</w:t>
      </w:r>
    </w:p>
    <w:p w:rsidR="000201C2" w:rsidRDefault="000201C2" w:rsidP="00B91C6E">
      <w:pPr>
        <w:rPr>
          <w:rFonts w:ascii="Arial" w:hAnsi="Arial" w:cs="Arial"/>
        </w:rPr>
      </w:pP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40 Zakona o državnoj imovini (“Sl. list CG”, br. 21/09</w:t>
      </w:r>
      <w:r w:rsidR="00BC120F">
        <w:rPr>
          <w:rFonts w:ascii="Arial" w:hAnsi="Arial" w:cs="Arial"/>
          <w:sz w:val="24"/>
          <w:szCs w:val="24"/>
        </w:rPr>
        <w:t xml:space="preserve"> i 40/11</w:t>
      </w:r>
      <w:r>
        <w:rPr>
          <w:rFonts w:ascii="Arial" w:hAnsi="Arial" w:cs="Arial"/>
          <w:sz w:val="24"/>
          <w:szCs w:val="24"/>
        </w:rPr>
        <w:t>), člana 29 Uredbe o prodaji i davanju u zakup stvari u državnoj imovini (“Sl</w:t>
      </w:r>
      <w:r w:rsidR="000D4521">
        <w:rPr>
          <w:rFonts w:ascii="Arial" w:hAnsi="Arial" w:cs="Arial"/>
          <w:sz w:val="24"/>
          <w:szCs w:val="24"/>
        </w:rPr>
        <w:t xml:space="preserve">. list CG”, br. 44/10), </w:t>
      </w:r>
      <w:r w:rsidR="008A27C9">
        <w:rPr>
          <w:rFonts w:ascii="Arial" w:hAnsi="Arial" w:cs="Arial"/>
          <w:sz w:val="24"/>
          <w:szCs w:val="24"/>
        </w:rPr>
        <w:t xml:space="preserve"> </w:t>
      </w:r>
      <w:r w:rsidR="000D4521">
        <w:rPr>
          <w:rFonts w:ascii="Arial" w:hAnsi="Arial" w:cs="Arial"/>
          <w:sz w:val="24"/>
          <w:szCs w:val="24"/>
        </w:rPr>
        <w:t>člana 38</w:t>
      </w:r>
      <w:r w:rsidR="000D4521" w:rsidRPr="000D4521">
        <w:rPr>
          <w:rFonts w:ascii="Arial" w:hAnsi="Arial" w:cs="Arial"/>
          <w:sz w:val="22"/>
          <w:szCs w:val="22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Odluke o montažnim objektima privremenog karaktera (“Sl.</w:t>
      </w:r>
      <w:r w:rsidR="0021122E">
        <w:rPr>
          <w:rFonts w:ascii="Arial" w:hAnsi="Arial" w:cs="Arial"/>
          <w:sz w:val="24"/>
          <w:szCs w:val="24"/>
        </w:rPr>
        <w:t xml:space="preserve"> L</w:t>
      </w:r>
      <w:r w:rsidR="000D4521" w:rsidRPr="000D4521">
        <w:rPr>
          <w:rFonts w:ascii="Arial" w:hAnsi="Arial" w:cs="Arial"/>
          <w:sz w:val="24"/>
          <w:szCs w:val="24"/>
        </w:rPr>
        <w:t>ist CG</w:t>
      </w:r>
      <w:r w:rsidR="0021122E">
        <w:rPr>
          <w:rFonts w:ascii="Arial" w:hAnsi="Arial" w:cs="Arial"/>
          <w:sz w:val="24"/>
          <w:szCs w:val="24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-</w:t>
      </w:r>
      <w:r w:rsidR="0021122E">
        <w:rPr>
          <w:rFonts w:ascii="Arial" w:hAnsi="Arial" w:cs="Arial"/>
          <w:sz w:val="24"/>
          <w:szCs w:val="24"/>
        </w:rPr>
        <w:t xml:space="preserve"> opštinski propisi”, br. 53/16),</w:t>
      </w:r>
      <w:r w:rsidR="000D4521">
        <w:rPr>
          <w:rFonts w:ascii="Arial" w:hAnsi="Arial" w:cs="Arial"/>
          <w:sz w:val="24"/>
          <w:szCs w:val="24"/>
        </w:rPr>
        <w:t xml:space="preserve"> </w:t>
      </w:r>
      <w:r w:rsidR="002D2F5D">
        <w:rPr>
          <w:rFonts w:ascii="Arial" w:hAnsi="Arial" w:cs="Arial"/>
          <w:sz w:val="24"/>
          <w:szCs w:val="24"/>
        </w:rPr>
        <w:t xml:space="preserve">i </w:t>
      </w:r>
      <w:r w:rsidR="0021122E">
        <w:rPr>
          <w:rFonts w:ascii="Arial" w:hAnsi="Arial" w:cs="Arial"/>
          <w:sz w:val="24"/>
          <w:szCs w:val="24"/>
        </w:rPr>
        <w:t>Odluke o dono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šenju programa građenja, postavljanja i uklanjanja privremenih objekata na području Opštine Bar („Sl. List CG – opštinski propisi“, br. 13/19), </w:t>
      </w:r>
      <w:r w:rsidR="002A2D0E">
        <w:rPr>
          <w:rFonts w:ascii="Arial" w:hAnsi="Arial" w:cs="Arial"/>
          <w:sz w:val="24"/>
          <w:szCs w:val="24"/>
        </w:rPr>
        <w:t>i tačke II</w:t>
      </w:r>
      <w:r w:rsidR="00D62F34">
        <w:rPr>
          <w:rFonts w:ascii="Arial" w:hAnsi="Arial" w:cs="Arial"/>
          <w:sz w:val="24"/>
          <w:szCs w:val="24"/>
        </w:rPr>
        <w:t xml:space="preserve"> Rješenja predsjednik</w:t>
      </w:r>
      <w:r w:rsidR="002A2D0E">
        <w:rPr>
          <w:rFonts w:ascii="Arial" w:hAnsi="Arial" w:cs="Arial"/>
          <w:sz w:val="24"/>
          <w:szCs w:val="24"/>
        </w:rPr>
        <w:t>a Opštine Bar, broj: 01-</w:t>
      </w:r>
      <w:r w:rsidR="002D2F5D">
        <w:rPr>
          <w:rFonts w:ascii="Arial" w:hAnsi="Arial" w:cs="Arial"/>
          <w:sz w:val="24"/>
          <w:szCs w:val="24"/>
        </w:rPr>
        <w:t>1074</w:t>
      </w:r>
      <w:r w:rsidRPr="000D4521">
        <w:rPr>
          <w:rFonts w:ascii="Arial" w:hAnsi="Arial" w:cs="Arial"/>
          <w:sz w:val="24"/>
          <w:szCs w:val="24"/>
        </w:rPr>
        <w:t xml:space="preserve"> </w:t>
      </w:r>
      <w:r w:rsidR="008B3F74">
        <w:rPr>
          <w:rFonts w:ascii="Arial" w:hAnsi="Arial" w:cs="Arial"/>
          <w:sz w:val="24"/>
          <w:szCs w:val="24"/>
        </w:rPr>
        <w:t xml:space="preserve">od </w:t>
      </w:r>
      <w:r w:rsidR="002D2F5D">
        <w:rPr>
          <w:rFonts w:ascii="Arial" w:hAnsi="Arial" w:cs="Arial"/>
          <w:sz w:val="24"/>
          <w:szCs w:val="24"/>
        </w:rPr>
        <w:t>10.04.2019</w:t>
      </w:r>
      <w:r w:rsidR="002A2D0E">
        <w:rPr>
          <w:rFonts w:ascii="Arial" w:hAnsi="Arial" w:cs="Arial"/>
          <w:sz w:val="24"/>
          <w:szCs w:val="24"/>
        </w:rPr>
        <w:t>. godine, Komisija za sprovođenje postupka javnog nadmetanja,  objavljuje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Default="000201C2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JAVNI POZIV</w:t>
      </w:r>
    </w:p>
    <w:p w:rsidR="00F414C1" w:rsidRDefault="00D62F34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davanje u zakup </w:t>
      </w:r>
      <w:r w:rsidR="00F51C54">
        <w:rPr>
          <w:rFonts w:ascii="Arial" w:hAnsi="Arial" w:cs="Arial"/>
          <w:b/>
          <w:bCs/>
          <w:sz w:val="24"/>
          <w:szCs w:val="24"/>
        </w:rPr>
        <w:t xml:space="preserve">zemljišta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0260D3">
        <w:rPr>
          <w:rFonts w:ascii="Arial" w:hAnsi="Arial" w:cs="Arial"/>
          <w:b/>
          <w:bCs/>
          <w:sz w:val="24"/>
          <w:szCs w:val="24"/>
        </w:rPr>
        <w:t>postavljanje</w:t>
      </w:r>
      <w:r w:rsidR="000201C2">
        <w:rPr>
          <w:rFonts w:ascii="Arial" w:hAnsi="Arial" w:cs="Arial"/>
          <w:b/>
          <w:bCs/>
          <w:sz w:val="24"/>
          <w:szCs w:val="24"/>
        </w:rPr>
        <w:t xml:space="preserve"> privremenih objekata</w:t>
      </w:r>
    </w:p>
    <w:p w:rsidR="00EF74D8" w:rsidRPr="00F414C1" w:rsidRDefault="00B9057A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javnim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nadmetanjem - aukcijom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Pr="003C601E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</w:p>
    <w:p w:rsidR="00105DB3" w:rsidRDefault="000201C2" w:rsidP="00F47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poziva je</w:t>
      </w:r>
      <w:r w:rsidR="00D62F34">
        <w:rPr>
          <w:rFonts w:ascii="Arial" w:hAnsi="Arial" w:cs="Arial"/>
          <w:sz w:val="24"/>
          <w:szCs w:val="24"/>
        </w:rPr>
        <w:t xml:space="preserve"> oglašavanje za</w:t>
      </w:r>
      <w:r>
        <w:rPr>
          <w:rFonts w:ascii="Arial" w:hAnsi="Arial" w:cs="Arial"/>
          <w:sz w:val="24"/>
          <w:szCs w:val="24"/>
        </w:rPr>
        <w:t xml:space="preserve"> davanje u zakup </w:t>
      </w:r>
      <w:r w:rsidR="0021122E">
        <w:rPr>
          <w:rFonts w:ascii="Arial" w:hAnsi="Arial" w:cs="Arial"/>
          <w:sz w:val="24"/>
          <w:szCs w:val="24"/>
        </w:rPr>
        <w:t>zemljišta</w:t>
      </w:r>
      <w:r w:rsidR="00F47832">
        <w:rPr>
          <w:rFonts w:ascii="Arial" w:hAnsi="Arial" w:cs="Arial"/>
          <w:sz w:val="24"/>
          <w:szCs w:val="24"/>
        </w:rPr>
        <w:t xml:space="preserve">, radi </w:t>
      </w:r>
      <w:r w:rsidR="005776E5">
        <w:rPr>
          <w:rFonts w:ascii="Arial" w:hAnsi="Arial" w:cs="Arial"/>
          <w:sz w:val="24"/>
          <w:szCs w:val="24"/>
        </w:rPr>
        <w:t>postavljanja</w:t>
      </w:r>
      <w:r>
        <w:rPr>
          <w:rFonts w:ascii="Arial" w:hAnsi="Arial" w:cs="Arial"/>
          <w:sz w:val="24"/>
          <w:szCs w:val="24"/>
        </w:rPr>
        <w:t xml:space="preserve"> privremenih objekata po</w:t>
      </w:r>
      <w:r w:rsidR="008B3F74" w:rsidRPr="008B3F74">
        <w:rPr>
          <w:rFonts w:ascii="Arial" w:hAnsi="Arial" w:cs="Arial"/>
          <w:sz w:val="24"/>
          <w:szCs w:val="24"/>
        </w:rPr>
        <w:t xml:space="preserve"> </w:t>
      </w:r>
      <w:r w:rsidR="009E0F94">
        <w:rPr>
          <w:rFonts w:ascii="Arial" w:hAnsi="Arial" w:cs="Arial"/>
          <w:sz w:val="24"/>
          <w:szCs w:val="24"/>
        </w:rPr>
        <w:t xml:space="preserve">Programu privremenih objekata na području opštine Bar </w:t>
      </w:r>
      <w:r w:rsidR="008B3F74">
        <w:rPr>
          <w:rFonts w:ascii="Arial" w:hAnsi="Arial" w:cs="Arial"/>
          <w:sz w:val="24"/>
          <w:szCs w:val="24"/>
          <w:lang w:val="sl-SI"/>
        </w:rPr>
        <w:t xml:space="preserve">za period </w:t>
      </w:r>
      <w:r w:rsidR="0021122E">
        <w:rPr>
          <w:rFonts w:ascii="Arial" w:hAnsi="Arial" w:cs="Arial"/>
          <w:sz w:val="24"/>
          <w:szCs w:val="24"/>
          <w:lang w:val="sl-SI"/>
        </w:rPr>
        <w:t>od 2019</w:t>
      </w:r>
      <w:r w:rsidR="00916625">
        <w:rPr>
          <w:rFonts w:ascii="Arial" w:hAnsi="Arial" w:cs="Arial"/>
          <w:sz w:val="24"/>
          <w:szCs w:val="24"/>
          <w:lang w:val="sl-SI"/>
        </w:rPr>
        <w:t xml:space="preserve"> do 2023</w:t>
      </w:r>
      <w:r w:rsidR="008B3F74">
        <w:rPr>
          <w:rFonts w:ascii="Arial" w:hAnsi="Arial" w:cs="Arial"/>
          <w:sz w:val="24"/>
          <w:szCs w:val="24"/>
          <w:lang w:val="sl-SI"/>
        </w:rPr>
        <w:t xml:space="preserve"> godine</w:t>
      </w:r>
      <w:r w:rsidR="008B3F74" w:rsidRPr="000D4521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i to</w:t>
      </w:r>
      <w:r w:rsidR="00F47832">
        <w:rPr>
          <w:rFonts w:ascii="Arial" w:hAnsi="Arial" w:cs="Arial"/>
          <w:sz w:val="24"/>
          <w:szCs w:val="24"/>
        </w:rPr>
        <w:t xml:space="preserve"> lokacije</w:t>
      </w:r>
      <w:r>
        <w:rPr>
          <w:rFonts w:ascii="Arial" w:hAnsi="Arial" w:cs="Arial"/>
          <w:sz w:val="24"/>
          <w:szCs w:val="24"/>
        </w:rPr>
        <w:t>: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lang w:val="sl-SI"/>
        </w:rPr>
        <w:t>1.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BRCA</w:t>
      </w:r>
      <w:r w:rsidRPr="00C47DC8">
        <w:rPr>
          <w:rFonts w:ascii="Arial" w:hAnsi="Arial" w:cs="Arial"/>
          <w:b/>
          <w:bCs/>
          <w:lang w:val="sl-SI"/>
        </w:rPr>
        <w:t xml:space="preserve">        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86"/>
        <w:gridCol w:w="1367"/>
        <w:gridCol w:w="1543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8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67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3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8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6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43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8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6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3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ŽUKOTRLICA: ULICA NIKOLE LEKIĆA</w:t>
      </w:r>
      <w:r w:rsidRPr="00C47DC8">
        <w:rPr>
          <w:rFonts w:ascii="Arial" w:hAnsi="Arial" w:cs="Arial"/>
          <w:b/>
          <w:bCs/>
          <w:lang w:val="sl-SI"/>
        </w:rPr>
        <w:t xml:space="preserve">        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7,2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792,00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3.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ŽUKOTRLICA: ULICA IV PROLETERSKE CRNOGORSKE BRIGADE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7,2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792,00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4.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ULICA MAKEDONSKA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</w:t>
      </w:r>
      <w:r>
        <w:rPr>
          <w:rFonts w:ascii="Arial" w:hAnsi="Arial" w:cs="Arial"/>
          <w:b/>
          <w:bCs/>
          <w:lang w:val="sl-SI"/>
        </w:rPr>
        <w:tab/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7,2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792,00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5.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ULICA RISTA LEKIĆA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387"/>
        <w:gridCol w:w="1368"/>
        <w:gridCol w:w="1521"/>
      </w:tblGrid>
      <w:tr w:rsidR="00F414C1" w:rsidRPr="00C47DC8" w:rsidTr="0021122E">
        <w:tc>
          <w:tcPr>
            <w:tcW w:w="931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87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68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2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387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</w:t>
            </w:r>
          </w:p>
        </w:tc>
        <w:tc>
          <w:tcPr>
            <w:tcW w:w="1368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2.640,00</w:t>
            </w:r>
          </w:p>
        </w:tc>
        <w:tc>
          <w:tcPr>
            <w:tcW w:w="152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1.000,00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5.2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387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</w:t>
            </w:r>
          </w:p>
        </w:tc>
        <w:tc>
          <w:tcPr>
            <w:tcW w:w="1368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1.320,00</w:t>
            </w:r>
          </w:p>
        </w:tc>
        <w:tc>
          <w:tcPr>
            <w:tcW w:w="152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6.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II: BULEVAR REVOLUCIJE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Dječje igralište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Montažno – demontažno 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7.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II: ULICE UNUTAR BLOKA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660,00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7,2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792,00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660,00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7,2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792,00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7.11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7.12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jc w:val="right"/>
            </w:pPr>
            <w:r w:rsidRPr="001B56D8"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7.13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jc w:val="right"/>
            </w:pPr>
            <w:r w:rsidRPr="001B56D8"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7.14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jc w:val="right"/>
            </w:pPr>
            <w:r w:rsidRPr="001B56D8"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7.29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Dječje igralište 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Montažno – demontažni 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Igralište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150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7.500,00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8.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– BJELIŠI: ULICA POŽAREVAČKA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</w:t>
      </w:r>
      <w:r>
        <w:rPr>
          <w:rFonts w:ascii="Arial" w:hAnsi="Arial" w:cs="Arial"/>
          <w:b/>
          <w:bCs/>
          <w:lang w:val="sl-SI"/>
        </w:rPr>
        <w:tab/>
        <w:t xml:space="preserve">    </w:t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660,00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9.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TOPOLICA: TRŽNI CENTAR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  <w:t>z II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390"/>
        <w:gridCol w:w="1376"/>
        <w:gridCol w:w="1497"/>
      </w:tblGrid>
      <w:tr w:rsidR="00F414C1" w:rsidRPr="00C47DC8" w:rsidTr="0021122E">
        <w:tc>
          <w:tcPr>
            <w:tcW w:w="931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76" w:type="dxa"/>
            <w:vAlign w:val="center"/>
          </w:tcPr>
          <w:p w:rsidR="00F414C1" w:rsidRDefault="00E55647" w:rsidP="00E5564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742</w:t>
            </w:r>
            <w:r w:rsidR="00F414C1">
              <w:rPr>
                <w:rFonts w:ascii="Arial" w:hAnsi="Arial" w:cs="Arial"/>
                <w:lang w:val="sl-SI"/>
              </w:rPr>
              <w:t>,</w:t>
            </w:r>
            <w:r>
              <w:rPr>
                <w:rFonts w:ascii="Arial" w:hAnsi="Arial" w:cs="Arial"/>
                <w:lang w:val="sl-SI"/>
              </w:rPr>
              <w:t>50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9.2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Trgovina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76" w:type="dxa"/>
            <w:vAlign w:val="center"/>
          </w:tcPr>
          <w:p w:rsidR="00F414C1" w:rsidRDefault="00E55647" w:rsidP="00E5564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742</w:t>
            </w:r>
            <w:r w:rsidR="00F414C1">
              <w:rPr>
                <w:rFonts w:ascii="Arial" w:hAnsi="Arial" w:cs="Arial"/>
                <w:lang w:val="sl-SI"/>
              </w:rPr>
              <w:t>,</w:t>
            </w:r>
            <w:r>
              <w:rPr>
                <w:rFonts w:ascii="Arial" w:hAnsi="Arial" w:cs="Arial"/>
                <w:lang w:val="sl-SI"/>
              </w:rPr>
              <w:t>5</w:t>
            </w:r>
            <w:r w:rsidR="00F414C1"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Trgovina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76" w:type="dxa"/>
            <w:vAlign w:val="center"/>
          </w:tcPr>
          <w:p w:rsidR="00F414C1" w:rsidRDefault="00E55647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742,5</w:t>
            </w:r>
            <w:r w:rsidR="00F414C1"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360,00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10.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BULEVAR DINASTIJE PETROVIĆ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Trgovina / ugostiteljstvo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1.512,50</w:t>
            </w:r>
          </w:p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/ 1.815,00  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770,00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1.237,50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630,00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825,00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420,00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10.6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10.7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10.8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11.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ULICA JOVANA STOJANOVIĆA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825,00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420,00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12</w:t>
      </w:r>
      <w:r w:rsidRPr="00C47DC8">
        <w:rPr>
          <w:rFonts w:ascii="Arial" w:hAnsi="Arial" w:cs="Arial"/>
          <w:b/>
          <w:bCs/>
          <w:lang w:val="sl-SI"/>
        </w:rPr>
        <w:t xml:space="preserve">. TOPOLICA:  ULICA VLADIMIRA ROLOVIĆA        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1.650,00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kokica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12.21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1.750,00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13</w:t>
      </w:r>
      <w:r w:rsidRPr="00C47DC8">
        <w:rPr>
          <w:rFonts w:ascii="Arial" w:hAnsi="Arial" w:cs="Arial"/>
          <w:b/>
          <w:bCs/>
          <w:lang w:val="sl-SI"/>
        </w:rPr>
        <w:t xml:space="preserve">. TOPOLICA:  ULICA </w:t>
      </w:r>
      <w:r>
        <w:rPr>
          <w:rFonts w:ascii="Arial" w:hAnsi="Arial" w:cs="Arial"/>
          <w:b/>
          <w:bCs/>
          <w:lang w:val="sl-SI"/>
        </w:rPr>
        <w:t>JOVANA TOMAŠEVIĆA</w:t>
      </w:r>
      <w:r w:rsidRPr="00C47DC8">
        <w:rPr>
          <w:rFonts w:ascii="Arial" w:hAnsi="Arial" w:cs="Arial"/>
          <w:b/>
          <w:bCs/>
          <w:lang w:val="sl-SI"/>
        </w:rPr>
        <w:t xml:space="preserve">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       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13.2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1.650,00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13.3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1.237,50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630,00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13.4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1.237,50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630,00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13.11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13.24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Mobilijar sportskog karaktera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>Montažno – demontažan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Klupa za majke dojilje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Pr="005553F3" w:rsidRDefault="00F414C1" w:rsidP="0021122E">
            <w:pPr>
              <w:spacing w:line="20" w:lineRule="atLeast"/>
              <w:jc w:val="right"/>
              <w:rPr>
                <w:rFonts w:ascii="Arial" w:hAnsi="Arial" w:cs="Arial"/>
              </w:rPr>
            </w:pPr>
            <w:r w:rsidRPr="005553F3">
              <w:rPr>
                <w:rFonts w:ascii="Arial" w:hAnsi="Arial" w:cs="Arial"/>
              </w:rPr>
              <w:t>350,00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14</w:t>
      </w:r>
      <w:r w:rsidRPr="00C47DC8">
        <w:rPr>
          <w:rFonts w:ascii="Arial" w:hAnsi="Arial" w:cs="Arial"/>
          <w:b/>
          <w:bCs/>
          <w:lang w:val="sl-SI"/>
        </w:rPr>
        <w:t xml:space="preserve">. TOPOLICA:  ULICA </w:t>
      </w:r>
      <w:r>
        <w:rPr>
          <w:rFonts w:ascii="Arial" w:hAnsi="Arial" w:cs="Arial"/>
          <w:b/>
          <w:bCs/>
          <w:lang w:val="sl-SI"/>
        </w:rPr>
        <w:t>MILA BOŠKOVIĆA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 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       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825,00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420,00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</w:t>
            </w:r>
            <w:r w:rsidRPr="00C47DC8">
              <w:rPr>
                <w:rFonts w:ascii="Arial" w:hAnsi="Arial" w:cs="Arial"/>
                <w:lang w:val="sl-SI"/>
              </w:rPr>
              <w:t>.</w:t>
            </w: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lastRenderedPageBreak/>
        <w:t>15</w:t>
      </w:r>
      <w:r w:rsidRPr="00C47DC8">
        <w:rPr>
          <w:rFonts w:ascii="Arial" w:hAnsi="Arial" w:cs="Arial"/>
          <w:b/>
          <w:bCs/>
          <w:lang w:val="sl-SI"/>
        </w:rPr>
        <w:t xml:space="preserve">. TOPOLICA:  ULICA </w:t>
      </w:r>
      <w:r>
        <w:rPr>
          <w:rFonts w:ascii="Arial" w:hAnsi="Arial" w:cs="Arial"/>
          <w:b/>
          <w:bCs/>
          <w:lang w:val="sl-SI"/>
        </w:rPr>
        <w:t>POPA DUKLJANINA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</w:t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       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15.1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7,2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504,00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15</w:t>
            </w:r>
            <w:r w:rsidRPr="00C47DC8">
              <w:rPr>
                <w:rFonts w:ascii="Arial" w:hAnsi="Arial" w:cs="Arial"/>
                <w:lang w:val="sl-SI"/>
              </w:rPr>
              <w:t>.</w:t>
            </w: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16</w:t>
      </w:r>
      <w:r w:rsidRPr="00C47DC8">
        <w:rPr>
          <w:rFonts w:ascii="Arial" w:hAnsi="Arial" w:cs="Arial"/>
          <w:b/>
          <w:bCs/>
          <w:lang w:val="sl-SI"/>
        </w:rPr>
        <w:t xml:space="preserve">. TOPOLICA: ULICA ŠETALIŠTE KRALJA NIKOLE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412"/>
        <w:gridCol w:w="1377"/>
        <w:gridCol w:w="1546"/>
      </w:tblGrid>
      <w:tr w:rsidR="00F414C1" w:rsidRPr="00C47DC8" w:rsidTr="0021122E">
        <w:tc>
          <w:tcPr>
            <w:tcW w:w="931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1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16.4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16.5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16.14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kokica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16.15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Sladoled na točenje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16.16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16.17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</w:t>
            </w:r>
          </w:p>
        </w:tc>
        <w:tc>
          <w:tcPr>
            <w:tcW w:w="1377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2.598,75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3.150,00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16.18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Privremeni ugostiteljski objekat 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63</w:t>
            </w:r>
          </w:p>
        </w:tc>
        <w:tc>
          <w:tcPr>
            <w:tcW w:w="1377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10.395,00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4.410,00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16.19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16.20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kukuruza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16.22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 Sladoled na točenje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16.24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Zabavni park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Dječija auta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15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1.050,00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16.25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naočara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16.26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kukuruza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16.27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16.28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16.29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16.30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kukuruza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16.31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16.32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Sladoled na točenje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16.33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3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16.34</w:t>
            </w:r>
          </w:p>
        </w:tc>
        <w:tc>
          <w:tcPr>
            <w:tcW w:w="2489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kukuruza</w:t>
            </w:r>
          </w:p>
        </w:tc>
        <w:tc>
          <w:tcPr>
            <w:tcW w:w="1412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lastRenderedPageBreak/>
        <w:t>17</w:t>
      </w:r>
      <w:r w:rsidRPr="00C47DC8">
        <w:rPr>
          <w:rFonts w:ascii="Arial" w:hAnsi="Arial" w:cs="Arial"/>
          <w:b/>
          <w:bCs/>
          <w:lang w:val="sl-SI"/>
        </w:rPr>
        <w:t xml:space="preserve">. TOPOLICA: ULICA OBALA 13 JUL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491"/>
        <w:gridCol w:w="1890"/>
        <w:gridCol w:w="1451"/>
        <w:gridCol w:w="1390"/>
        <w:gridCol w:w="1504"/>
      </w:tblGrid>
      <w:tr w:rsidR="00F414C1" w:rsidRPr="00C47DC8" w:rsidTr="0021122E">
        <w:tc>
          <w:tcPr>
            <w:tcW w:w="929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9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5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17.1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17.2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pano / pult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knjiga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17.3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objekat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106</w:t>
            </w:r>
          </w:p>
        </w:tc>
        <w:tc>
          <w:tcPr>
            <w:tcW w:w="1390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17.490,00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7.420,00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160</w:t>
            </w:r>
          </w:p>
        </w:tc>
        <w:tc>
          <w:tcPr>
            <w:tcW w:w="1390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9.240,00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11.200,00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17.</w:t>
            </w: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jc w:val="right"/>
            </w:pPr>
            <w:r w:rsidRPr="003262F6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17.6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pano / pult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jc w:val="right"/>
            </w:pPr>
            <w:r w:rsidRPr="003262F6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17.10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pano / pult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jc w:val="right"/>
            </w:pPr>
            <w:r w:rsidRPr="003262F6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17.12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Aparat za cijeđenje soka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jc w:val="right"/>
            </w:pPr>
            <w:r w:rsidRPr="003262F6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17.13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kokica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jc w:val="right"/>
            </w:pPr>
            <w:r w:rsidRPr="003262F6"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18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POPOVIĆI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VI           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492"/>
        <w:gridCol w:w="1890"/>
        <w:gridCol w:w="1444"/>
        <w:gridCol w:w="1376"/>
        <w:gridCol w:w="1497"/>
      </w:tblGrid>
      <w:tr w:rsidR="00F414C1" w:rsidRPr="00C47DC8" w:rsidTr="0021122E">
        <w:tc>
          <w:tcPr>
            <w:tcW w:w="928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92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4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497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28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18.1</w:t>
            </w:r>
          </w:p>
        </w:tc>
        <w:tc>
          <w:tcPr>
            <w:tcW w:w="2492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44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7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495,00</w:t>
            </w:r>
          </w:p>
        </w:tc>
        <w:tc>
          <w:tcPr>
            <w:tcW w:w="1497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180,00</w:t>
            </w:r>
          </w:p>
        </w:tc>
      </w:tr>
      <w:tr w:rsidR="00F414C1" w:rsidRPr="00C47DC8" w:rsidTr="0021122E">
        <w:tc>
          <w:tcPr>
            <w:tcW w:w="928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18.2</w:t>
            </w:r>
          </w:p>
        </w:tc>
        <w:tc>
          <w:tcPr>
            <w:tcW w:w="2492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444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</w:t>
            </w:r>
          </w:p>
        </w:tc>
        <w:tc>
          <w:tcPr>
            <w:tcW w:w="137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660,00</w:t>
            </w:r>
          </w:p>
        </w:tc>
        <w:tc>
          <w:tcPr>
            <w:tcW w:w="149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20</w:t>
      </w:r>
      <w:r w:rsidRPr="00C47DC8">
        <w:rPr>
          <w:rFonts w:ascii="Arial" w:hAnsi="Arial" w:cs="Arial"/>
          <w:b/>
          <w:bCs/>
          <w:lang w:val="sl-SI"/>
        </w:rPr>
        <w:t xml:space="preserve">. OSTROS                                      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   </w:t>
      </w:r>
      <w:r>
        <w:rPr>
          <w:rFonts w:ascii="Arial" w:hAnsi="Arial" w:cs="Arial"/>
          <w:b/>
          <w:bCs/>
          <w:lang w:val="sl-SI"/>
        </w:rPr>
        <w:tab/>
        <w:t xml:space="preserve">z VI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330,00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23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TOPOLICA – BJELIŠI: ULICA VOJVODE MAŠA ĐUROVIĆA</w:t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24. STARI BAR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IV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4.1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 prostor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750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3.000,00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26. SUTOMORE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II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6.21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85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60,00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26.25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1.113,75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540,00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26.26</w:t>
            </w:r>
          </w:p>
        </w:tc>
        <w:tc>
          <w:tcPr>
            <w:tcW w:w="2488" w:type="dxa"/>
            <w:vAlign w:val="center"/>
          </w:tcPr>
          <w:p w:rsidR="00F414C1" w:rsidRDefault="00C95233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</w:t>
            </w:r>
            <w:r w:rsidR="00F414C1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</w:t>
            </w:r>
            <w:r w:rsidR="00F414C1">
              <w:rPr>
                <w:rFonts w:ascii="Arial" w:hAnsi="Arial" w:cs="Arial"/>
              </w:rPr>
              <w:t>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247,50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32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SUTOMORE NOVA PIJACA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Pijaca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500</w:t>
            </w:r>
          </w:p>
        </w:tc>
        <w:tc>
          <w:tcPr>
            <w:tcW w:w="1377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8.333,00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25.000,00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3500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58.333,33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32.5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32.6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32.7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481EC8" w:rsidRDefault="00481EC8" w:rsidP="004432EF">
      <w:pPr>
        <w:rPr>
          <w:rFonts w:ascii="Arial" w:hAnsi="Arial" w:cs="Arial"/>
          <w:lang w:val="sl-SI"/>
        </w:rPr>
      </w:pPr>
    </w:p>
    <w:p w:rsidR="00D36FD0" w:rsidRDefault="00F51C54" w:rsidP="0070346D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Zemljište se daje</w:t>
      </w:r>
      <w:r w:rsidR="00105DB3" w:rsidRPr="003C601E">
        <w:rPr>
          <w:rFonts w:ascii="Arial" w:hAnsi="Arial" w:cs="Arial"/>
          <w:sz w:val="24"/>
          <w:szCs w:val="24"/>
          <w:lang w:val="sl-SI"/>
        </w:rPr>
        <w:t xml:space="preserve"> u zakup do 31</w:t>
      </w:r>
      <w:r w:rsidR="005E42FF">
        <w:rPr>
          <w:rFonts w:ascii="Arial" w:hAnsi="Arial" w:cs="Arial"/>
          <w:sz w:val="24"/>
          <w:szCs w:val="24"/>
          <w:lang w:val="sl-SI"/>
        </w:rPr>
        <w:t>.12.2019</w:t>
      </w:r>
      <w:r w:rsidR="0021122E">
        <w:rPr>
          <w:rFonts w:ascii="Arial" w:hAnsi="Arial" w:cs="Arial"/>
          <w:sz w:val="24"/>
          <w:szCs w:val="24"/>
          <w:lang w:val="sl-SI"/>
        </w:rPr>
        <w:t>. godine,</w:t>
      </w:r>
      <w:r w:rsidR="00B05BF0">
        <w:rPr>
          <w:rFonts w:ascii="Arial" w:hAnsi="Arial" w:cs="Arial"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</w:rPr>
        <w:t xml:space="preserve">uz mogućnost godišnjeg produženja do </w:t>
      </w:r>
      <w:r w:rsidR="0021122E" w:rsidRPr="0021122E">
        <w:rPr>
          <w:rFonts w:ascii="Arial" w:hAnsi="Arial" w:cs="Arial"/>
          <w:sz w:val="24"/>
          <w:szCs w:val="24"/>
        </w:rPr>
        <w:t xml:space="preserve">31.12.2023. </w:t>
      </w:r>
      <w:proofErr w:type="gramStart"/>
      <w:r w:rsidR="0021122E" w:rsidRPr="0021122E">
        <w:rPr>
          <w:rFonts w:ascii="Arial" w:hAnsi="Arial" w:cs="Arial"/>
          <w:sz w:val="24"/>
          <w:szCs w:val="24"/>
        </w:rPr>
        <w:t>godine</w:t>
      </w:r>
      <w:proofErr w:type="gramEnd"/>
      <w:r w:rsidR="0021122E" w:rsidRPr="0021122E">
        <w:rPr>
          <w:rFonts w:ascii="Arial" w:hAnsi="Arial" w:cs="Arial"/>
          <w:sz w:val="24"/>
          <w:szCs w:val="24"/>
        </w:rPr>
        <w:t>,</w:t>
      </w:r>
      <w:r w:rsidR="0021122E">
        <w:rPr>
          <w:rFonts w:ascii="Arial" w:hAnsi="Arial" w:cs="Arial"/>
          <w:b/>
          <w:sz w:val="24"/>
          <w:szCs w:val="24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>pod</w:t>
      </w:r>
      <w:r w:rsidR="00F5112E" w:rsidRPr="00F5112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uslovom da je zakupac  izvršio obaveze predviđene </w:t>
      </w:r>
      <w:r w:rsidR="0021122E">
        <w:rPr>
          <w:rFonts w:ascii="Arial" w:hAnsi="Arial" w:cs="Arial"/>
          <w:sz w:val="24"/>
          <w:szCs w:val="24"/>
          <w:lang w:val="sl-SI"/>
        </w:rPr>
        <w:t>U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govorom, da ugovor nije jednostrano ili sporazumno raskinut ili u slučaju da je pokrenut sudski spor između </w:t>
      </w:r>
      <w:r w:rsidR="00D36FD0">
        <w:rPr>
          <w:rFonts w:ascii="Arial" w:hAnsi="Arial" w:cs="Arial"/>
          <w:sz w:val="24"/>
          <w:szCs w:val="24"/>
          <w:lang w:val="sl-SI"/>
        </w:rPr>
        <w:t>Opštine Bar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 i Zakupca zbog neispunjenja ugovorom </w:t>
      </w:r>
      <w:r w:rsidR="00D36FD0">
        <w:rPr>
          <w:rFonts w:ascii="Arial" w:hAnsi="Arial" w:cs="Arial"/>
          <w:sz w:val="24"/>
          <w:szCs w:val="24"/>
          <w:lang w:val="sl-SI"/>
        </w:rPr>
        <w:t xml:space="preserve">preuzetih obaveza. </w:t>
      </w:r>
    </w:p>
    <w:p w:rsidR="00F5112E" w:rsidRDefault="0021122E" w:rsidP="00C95233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Lokacij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koj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C95233">
        <w:rPr>
          <w:rFonts w:ascii="Arial" w:hAnsi="Arial" w:cs="Arial"/>
          <w:sz w:val="24"/>
          <w:szCs w:val="24"/>
          <w:lang w:val="sl-SI"/>
        </w:rPr>
        <w:t>su</w:t>
      </w:r>
      <w:r>
        <w:rPr>
          <w:rFonts w:ascii="Arial" w:hAnsi="Arial" w:cs="Arial"/>
          <w:sz w:val="24"/>
          <w:szCs w:val="24"/>
          <w:lang w:val="sl-SI"/>
        </w:rPr>
        <w:t xml:space="preserve"> u Programu označen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kao </w:t>
      </w:r>
      <w:r w:rsidR="0070346D">
        <w:rPr>
          <w:rFonts w:ascii="Arial" w:hAnsi="Arial" w:cs="Arial"/>
          <w:sz w:val="24"/>
          <w:szCs w:val="24"/>
          <w:lang w:val="sl-SI"/>
        </w:rPr>
        <w:t>lokacij</w:t>
      </w:r>
      <w:r w:rsidR="00C95233">
        <w:rPr>
          <w:rFonts w:ascii="Arial" w:hAnsi="Arial" w:cs="Arial"/>
          <w:sz w:val="24"/>
          <w:szCs w:val="24"/>
          <w:lang w:val="sl-SI"/>
        </w:rPr>
        <w:t>a br. 32.1 i lokacija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br. </w:t>
      </w:r>
      <w:r w:rsidR="005E42FF">
        <w:rPr>
          <w:rFonts w:ascii="Arial" w:hAnsi="Arial" w:cs="Arial"/>
          <w:sz w:val="24"/>
          <w:szCs w:val="24"/>
          <w:lang w:val="sl-SI"/>
        </w:rPr>
        <w:t>32.2 Sutomore-ostalo područje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(</w:t>
      </w:r>
      <w:r w:rsidR="00C95233">
        <w:rPr>
          <w:rFonts w:ascii="Arial" w:hAnsi="Arial" w:cs="Arial"/>
          <w:sz w:val="24"/>
          <w:szCs w:val="24"/>
          <w:lang w:val="sl-SI"/>
        </w:rPr>
        <w:t xml:space="preserve">pijaca i </w:t>
      </w:r>
      <w:r w:rsidR="0070346D">
        <w:rPr>
          <w:rFonts w:ascii="Arial" w:hAnsi="Arial" w:cs="Arial"/>
          <w:sz w:val="24"/>
          <w:szCs w:val="24"/>
          <w:lang w:val="sl-SI"/>
        </w:rPr>
        <w:t>zabavni park)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70346D" w:rsidRPr="003C601E">
        <w:rPr>
          <w:rFonts w:ascii="Arial" w:hAnsi="Arial" w:cs="Arial"/>
          <w:sz w:val="24"/>
          <w:szCs w:val="24"/>
          <w:lang w:val="sl-SI"/>
        </w:rPr>
        <w:t>se daje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u zakup</w:t>
      </w:r>
      <w:r w:rsidR="0070346D" w:rsidRPr="003C601E">
        <w:rPr>
          <w:rFonts w:ascii="Arial" w:hAnsi="Arial" w:cs="Arial"/>
          <w:sz w:val="24"/>
          <w:szCs w:val="24"/>
          <w:lang w:val="sl-SI"/>
        </w:rPr>
        <w:t xml:space="preserve"> na period od </w:t>
      </w:r>
      <w:r w:rsidR="00F5112E">
        <w:rPr>
          <w:rFonts w:ascii="Arial" w:hAnsi="Arial" w:cs="Arial"/>
          <w:sz w:val="24"/>
          <w:szCs w:val="24"/>
          <w:lang w:val="sl-SI"/>
        </w:rPr>
        <w:t>4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(</w:t>
      </w:r>
      <w:r w:rsidR="00F5112E">
        <w:rPr>
          <w:rFonts w:ascii="Arial" w:hAnsi="Arial" w:cs="Arial"/>
          <w:sz w:val="24"/>
          <w:szCs w:val="24"/>
          <w:lang w:val="sl-SI"/>
        </w:rPr>
        <w:t>četiri</w:t>
      </w:r>
      <w:r w:rsidR="0070346D">
        <w:rPr>
          <w:rFonts w:ascii="Arial" w:hAnsi="Arial" w:cs="Arial"/>
          <w:sz w:val="24"/>
          <w:szCs w:val="24"/>
          <w:lang w:val="sl-SI"/>
        </w:rPr>
        <w:t>) mjeseca</w:t>
      </w:r>
      <w:r w:rsidR="0070346D" w:rsidRPr="003C601E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0F303E" w:rsidRDefault="00D36FD0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6FD0">
        <w:rPr>
          <w:rFonts w:ascii="Arial" w:hAnsi="Arial" w:cs="Arial"/>
          <w:sz w:val="24"/>
          <w:szCs w:val="24"/>
        </w:rPr>
        <w:t>Zakupnina</w:t>
      </w:r>
      <w:r>
        <w:rPr>
          <w:rFonts w:ascii="Arial" w:hAnsi="Arial" w:cs="Arial"/>
          <w:sz w:val="24"/>
          <w:szCs w:val="24"/>
        </w:rPr>
        <w:t xml:space="preserve"> za zemljište se </w:t>
      </w:r>
      <w:r w:rsidRPr="00D36FD0">
        <w:rPr>
          <w:rFonts w:ascii="Arial" w:hAnsi="Arial" w:cs="Arial"/>
          <w:sz w:val="24"/>
          <w:szCs w:val="24"/>
        </w:rPr>
        <w:t>plaća u cjelini u momentu zaključenja ugovora ili u najviše tri rate</w:t>
      </w:r>
      <w:r w:rsidR="00571FAA">
        <w:rPr>
          <w:rFonts w:ascii="Arial" w:hAnsi="Arial" w:cs="Arial"/>
          <w:sz w:val="24"/>
          <w:szCs w:val="24"/>
        </w:rPr>
        <w:t xml:space="preserve"> koje će biti definisane ugovorom</w:t>
      </w:r>
      <w:r w:rsidRPr="00D36FD0">
        <w:rPr>
          <w:rFonts w:ascii="Arial" w:hAnsi="Arial" w:cs="Arial"/>
          <w:sz w:val="24"/>
          <w:szCs w:val="24"/>
        </w:rPr>
        <w:t xml:space="preserve">, od kojih prva rata dospijeva u momentu zaključenja ugovora uz obavezu izabranog ponuđača da u momentu zaključenja ugovora dostavi </w:t>
      </w:r>
      <w:r w:rsidR="00571FAA">
        <w:rPr>
          <w:rFonts w:ascii="Arial" w:hAnsi="Arial" w:cs="Arial"/>
          <w:sz w:val="24"/>
          <w:szCs w:val="24"/>
        </w:rPr>
        <w:t>Opštini Bar</w:t>
      </w:r>
      <w:r w:rsidRPr="00D36FD0">
        <w:rPr>
          <w:rFonts w:ascii="Arial" w:hAnsi="Arial" w:cs="Arial"/>
          <w:sz w:val="24"/>
          <w:szCs w:val="24"/>
        </w:rPr>
        <w:t xml:space="preserve"> orginalnu, bezuslovnu i naplativu na prvi poziv </w:t>
      </w:r>
      <w:r w:rsidR="00571FAA">
        <w:rPr>
          <w:rFonts w:ascii="Arial" w:hAnsi="Arial" w:cs="Arial"/>
          <w:sz w:val="24"/>
          <w:szCs w:val="24"/>
        </w:rPr>
        <w:t xml:space="preserve">naplativu </w:t>
      </w:r>
      <w:r w:rsidRPr="00D36FD0">
        <w:rPr>
          <w:rFonts w:ascii="Arial" w:hAnsi="Arial" w:cs="Arial"/>
          <w:sz w:val="24"/>
          <w:szCs w:val="24"/>
        </w:rPr>
        <w:t>bankarsku garanciju za plaćanje preostalog iznosa zakupnine,</w:t>
      </w:r>
      <w:r w:rsidR="000F303E">
        <w:rPr>
          <w:rFonts w:ascii="Arial" w:hAnsi="Arial" w:cs="Arial"/>
          <w:sz w:val="24"/>
          <w:szCs w:val="24"/>
        </w:rPr>
        <w:t xml:space="preserve"> koji je uvećan za </w:t>
      </w:r>
      <w:proofErr w:type="gramStart"/>
      <w:r w:rsidR="000F303E">
        <w:rPr>
          <w:rFonts w:ascii="Arial" w:hAnsi="Arial" w:cs="Arial"/>
          <w:sz w:val="24"/>
          <w:szCs w:val="24"/>
        </w:rPr>
        <w:t>iznos  PDV</w:t>
      </w:r>
      <w:proofErr w:type="gramEnd"/>
      <w:r w:rsidR="000F303E">
        <w:rPr>
          <w:rFonts w:ascii="Arial" w:hAnsi="Arial" w:cs="Arial"/>
          <w:sz w:val="24"/>
          <w:szCs w:val="24"/>
        </w:rPr>
        <w:t xml:space="preserve">-a, </w:t>
      </w:r>
      <w:r w:rsidR="000F303E" w:rsidRPr="00F715C3">
        <w:rPr>
          <w:rFonts w:ascii="Arial" w:hAnsi="Arial" w:cs="Arial"/>
          <w:sz w:val="24"/>
          <w:szCs w:val="24"/>
        </w:rPr>
        <w:t xml:space="preserve">sa rokom važenja </w:t>
      </w:r>
      <w:r w:rsidR="000F303E">
        <w:rPr>
          <w:rFonts w:ascii="Arial" w:hAnsi="Arial" w:cs="Arial"/>
          <w:sz w:val="24"/>
          <w:szCs w:val="24"/>
          <w:lang w:val="pl-PL"/>
        </w:rPr>
        <w:t>do 01.oktobra tekuće godine.</w:t>
      </w:r>
    </w:p>
    <w:p w:rsidR="000F303E" w:rsidRDefault="000F303E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Iznos bankarske garancije </w:t>
      </w:r>
      <w:r w:rsidR="001E2684">
        <w:rPr>
          <w:rFonts w:ascii="Arial" w:hAnsi="Arial" w:cs="Arial"/>
          <w:sz w:val="24"/>
          <w:szCs w:val="24"/>
        </w:rPr>
        <w:t xml:space="preserve">ne može biti manji </w:t>
      </w:r>
      <w:proofErr w:type="gramStart"/>
      <w:r w:rsidR="001E2684">
        <w:rPr>
          <w:rFonts w:ascii="Arial" w:hAnsi="Arial" w:cs="Arial"/>
          <w:sz w:val="24"/>
          <w:szCs w:val="24"/>
        </w:rPr>
        <w:t>od</w:t>
      </w:r>
      <w:proofErr w:type="gramEnd"/>
      <w:r w:rsidR="001E2684">
        <w:rPr>
          <w:rFonts w:ascii="Arial" w:hAnsi="Arial" w:cs="Arial"/>
          <w:sz w:val="24"/>
          <w:szCs w:val="24"/>
        </w:rPr>
        <w:t xml:space="preserve"> visine najviše izlicitiranog iznosa cijene zakupa zemljišta za predmetnu lokaciju. </w:t>
      </w:r>
    </w:p>
    <w:p w:rsidR="00571FAA" w:rsidRDefault="00571FAA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Uslov za postavljanje sezonskih objekata je da budu aktivni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01.05.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31.10., ne kraće od 4 (četiri) mjeseca (01.06. do 30.09.). </w:t>
      </w:r>
    </w:p>
    <w:p w:rsidR="000201C2" w:rsidRPr="00481B9D" w:rsidRDefault="00571FAA" w:rsidP="00481B9D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 slučaju da postoji zainteresovanost korisnika privremenih sezonskih objekata može se odobriti korišćenje tokom čitave godine ukoliko taj objekat ispunjava uslove propisane Programom.</w:t>
      </w:r>
      <w:proofErr w:type="gramEnd"/>
      <w:r>
        <w:rPr>
          <w:rFonts w:ascii="Arial" w:hAnsi="Arial" w:cs="Arial"/>
          <w:sz w:val="24"/>
          <w:szCs w:val="24"/>
        </w:rPr>
        <w:t xml:space="preserve"> O ispunjenosti uslova odlučuje Sekretarijat za uređenje prostora Opštine Bar. </w:t>
      </w: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</w:t>
      </w:r>
    </w:p>
    <w:p w:rsidR="00F414C1" w:rsidRDefault="000201C2" w:rsidP="00B91C6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Javni poziv će </w:t>
      </w:r>
      <w:r w:rsidR="00855C95">
        <w:rPr>
          <w:rFonts w:ascii="Arial" w:hAnsi="Arial" w:cs="Arial"/>
          <w:sz w:val="24"/>
          <w:szCs w:val="24"/>
          <w:lang w:val="sl-SI"/>
        </w:rPr>
        <w:t xml:space="preserve">biti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istaknut </w:t>
      </w:r>
      <w:r>
        <w:rPr>
          <w:rFonts w:ascii="Arial" w:hAnsi="Arial" w:cs="Arial"/>
          <w:sz w:val="24"/>
          <w:szCs w:val="24"/>
          <w:lang w:val="sl-SI"/>
        </w:rPr>
        <w:t>na internet stranici Opštine Bar (</w:t>
      </w:r>
      <w:r w:rsidRPr="00537ECE">
        <w:rPr>
          <w:rFonts w:ascii="Arial" w:hAnsi="Arial" w:cs="Arial"/>
          <w:sz w:val="24"/>
          <w:szCs w:val="24"/>
          <w:lang w:val="sl-SI"/>
        </w:rPr>
        <w:t>www.bar.me</w:t>
      </w:r>
      <w:r>
        <w:rPr>
          <w:rFonts w:ascii="Arial" w:hAnsi="Arial" w:cs="Arial"/>
          <w:sz w:val="24"/>
          <w:szCs w:val="24"/>
          <w:lang w:val="sl-SI"/>
        </w:rPr>
        <w:t xml:space="preserve">),  oglasnoj tabli Opštine Bar 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biće objavljen </w:t>
      </w:r>
      <w:r w:rsidR="00571FAA">
        <w:rPr>
          <w:rFonts w:ascii="Arial" w:hAnsi="Arial" w:cs="Arial"/>
          <w:sz w:val="24"/>
          <w:szCs w:val="24"/>
          <w:lang w:val="sl-SI"/>
        </w:rPr>
        <w:t xml:space="preserve">u dnevnom listu »Pobjeda«. </w:t>
      </w:r>
    </w:p>
    <w:p w:rsidR="00F414C1" w:rsidRPr="00623B1E" w:rsidRDefault="00F414C1" w:rsidP="00B91C6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III</w:t>
      </w:r>
    </w:p>
    <w:p w:rsidR="009E4FC3" w:rsidRDefault="009E4FC3" w:rsidP="009E4F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podnošenje prijava je </w:t>
      </w:r>
      <w:r w:rsidR="00B24A49">
        <w:rPr>
          <w:rFonts w:ascii="Arial" w:hAnsi="Arial" w:cs="Arial"/>
          <w:sz w:val="24"/>
          <w:szCs w:val="24"/>
        </w:rPr>
        <w:t>8 (osam)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od dana objavljivanja javnog poziva.</w:t>
      </w:r>
    </w:p>
    <w:p w:rsidR="00967F88" w:rsidRDefault="000201C2" w:rsidP="00754C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>Pravo da učestvuju na javnom nadmetanju imaju sva domaća</w:t>
      </w:r>
      <w:r w:rsidR="00CD7CAD">
        <w:rPr>
          <w:rFonts w:ascii="Arial" w:hAnsi="Arial" w:cs="Arial"/>
          <w:sz w:val="24"/>
          <w:szCs w:val="24"/>
        </w:rPr>
        <w:t xml:space="preserve"> i strana pravna i fizička lica, osim lica</w:t>
      </w:r>
      <w:r w:rsidR="00B24A49">
        <w:rPr>
          <w:rFonts w:ascii="Arial" w:hAnsi="Arial" w:cs="Arial"/>
          <w:sz w:val="24"/>
          <w:szCs w:val="24"/>
        </w:rPr>
        <w:t xml:space="preserve"> koja imaju neizmirene obaveze,</w:t>
      </w:r>
      <w:r w:rsidR="00CD7CAD">
        <w:rPr>
          <w:rFonts w:ascii="Arial" w:hAnsi="Arial" w:cs="Arial"/>
          <w:sz w:val="24"/>
          <w:szCs w:val="24"/>
        </w:rPr>
        <w:t xml:space="preserve"> prema Opštini Bar, po osnovu zakupa</w:t>
      </w:r>
      <w:r w:rsidR="00A76BF0">
        <w:rPr>
          <w:rFonts w:ascii="Arial" w:hAnsi="Arial" w:cs="Arial"/>
          <w:sz w:val="24"/>
          <w:szCs w:val="24"/>
        </w:rPr>
        <w:t xml:space="preserve"> i lokalne komunalne </w:t>
      </w:r>
      <w:proofErr w:type="gramStart"/>
      <w:r w:rsidR="00A76BF0">
        <w:rPr>
          <w:rFonts w:ascii="Arial" w:hAnsi="Arial" w:cs="Arial"/>
          <w:sz w:val="24"/>
          <w:szCs w:val="24"/>
        </w:rPr>
        <w:t xml:space="preserve">takse </w:t>
      </w:r>
      <w:r w:rsidR="00CD7CAD">
        <w:rPr>
          <w:rFonts w:ascii="Arial" w:hAnsi="Arial" w:cs="Arial"/>
          <w:sz w:val="24"/>
          <w:szCs w:val="24"/>
        </w:rPr>
        <w:t xml:space="preserve"> za</w:t>
      </w:r>
      <w:proofErr w:type="gramEnd"/>
      <w:r w:rsidR="00CD7CAD">
        <w:rPr>
          <w:rFonts w:ascii="Arial" w:hAnsi="Arial" w:cs="Arial"/>
          <w:sz w:val="24"/>
          <w:szCs w:val="24"/>
        </w:rPr>
        <w:t xml:space="preserve"> pre</w:t>
      </w:r>
      <w:r w:rsidR="00B24A49">
        <w:rPr>
          <w:rFonts w:ascii="Arial" w:hAnsi="Arial" w:cs="Arial"/>
          <w:sz w:val="24"/>
          <w:szCs w:val="24"/>
        </w:rPr>
        <w:t>t</w:t>
      </w:r>
      <w:r w:rsidR="00CD7CAD">
        <w:rPr>
          <w:rFonts w:ascii="Arial" w:hAnsi="Arial" w:cs="Arial"/>
          <w:sz w:val="24"/>
          <w:szCs w:val="24"/>
        </w:rPr>
        <w:t>hodnu godinu korišćenja lokacije.</w:t>
      </w:r>
    </w:p>
    <w:p w:rsidR="00060E2E" w:rsidRDefault="00060E2E" w:rsidP="00481B9D">
      <w:pPr>
        <w:jc w:val="both"/>
        <w:rPr>
          <w:rFonts w:ascii="Arial" w:hAnsi="Arial" w:cs="Arial"/>
          <w:sz w:val="24"/>
          <w:szCs w:val="24"/>
        </w:rPr>
      </w:pPr>
    </w:p>
    <w:p w:rsidR="000201C2" w:rsidRPr="00562AB4" w:rsidRDefault="000201C2" w:rsidP="004721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Prijave za javno nadmetanje podnose se u </w:t>
      </w:r>
      <w:r w:rsidR="00BF6E3F">
        <w:rPr>
          <w:rFonts w:ascii="Arial" w:hAnsi="Arial" w:cs="Arial"/>
          <w:sz w:val="24"/>
          <w:szCs w:val="24"/>
        </w:rPr>
        <w:t>zatvorenim kovertama</w:t>
      </w:r>
      <w:r w:rsidR="00A53C1E">
        <w:rPr>
          <w:rFonts w:ascii="Arial" w:hAnsi="Arial" w:cs="Arial"/>
          <w:sz w:val="24"/>
          <w:szCs w:val="24"/>
        </w:rPr>
        <w:t xml:space="preserve">, na adresu: </w:t>
      </w:r>
      <w:r w:rsidR="005D41B6">
        <w:rPr>
          <w:rFonts w:ascii="Arial" w:hAnsi="Arial" w:cs="Arial"/>
          <w:sz w:val="24"/>
          <w:szCs w:val="24"/>
        </w:rPr>
        <w:t>S</w:t>
      </w:r>
      <w:r w:rsidR="002A2D0E">
        <w:rPr>
          <w:rFonts w:ascii="Arial" w:hAnsi="Arial" w:cs="Arial"/>
          <w:sz w:val="24"/>
          <w:szCs w:val="24"/>
        </w:rPr>
        <w:t>ekretarijat</w:t>
      </w:r>
      <w:r w:rsidR="005D41B6">
        <w:rPr>
          <w:rFonts w:ascii="Arial" w:hAnsi="Arial" w:cs="Arial"/>
          <w:sz w:val="24"/>
          <w:szCs w:val="24"/>
        </w:rPr>
        <w:t xml:space="preserve"> za imovinu,</w:t>
      </w:r>
      <w:r w:rsidRPr="00562AB4">
        <w:rPr>
          <w:rFonts w:ascii="Arial" w:hAnsi="Arial" w:cs="Arial"/>
          <w:sz w:val="24"/>
          <w:szCs w:val="24"/>
        </w:rPr>
        <w:t xml:space="preserve"> zastupanje</w:t>
      </w:r>
      <w:r w:rsidR="005D41B6">
        <w:rPr>
          <w:rFonts w:ascii="Arial" w:hAnsi="Arial" w:cs="Arial"/>
          <w:sz w:val="24"/>
          <w:szCs w:val="24"/>
        </w:rPr>
        <w:t xml:space="preserve"> i investicije</w:t>
      </w:r>
      <w:r w:rsidRPr="00562AB4">
        <w:rPr>
          <w:rFonts w:ascii="Arial" w:hAnsi="Arial" w:cs="Arial"/>
          <w:sz w:val="24"/>
          <w:szCs w:val="24"/>
        </w:rPr>
        <w:t xml:space="preserve"> Opštine Bar, Bulevar Revolucije br. 1, </w:t>
      </w:r>
      <w:r w:rsidR="00F164AA">
        <w:rPr>
          <w:rFonts w:ascii="Arial" w:hAnsi="Arial" w:cs="Arial"/>
          <w:sz w:val="24"/>
          <w:szCs w:val="24"/>
        </w:rPr>
        <w:t xml:space="preserve">Komisija za sprovođenje postupka javnog nadmetanja, </w:t>
      </w:r>
      <w:r w:rsidRPr="00562AB4">
        <w:rPr>
          <w:rFonts w:ascii="Arial" w:hAnsi="Arial" w:cs="Arial"/>
          <w:sz w:val="24"/>
          <w:szCs w:val="24"/>
        </w:rPr>
        <w:t>sa naznakom "</w:t>
      </w:r>
      <w:r>
        <w:rPr>
          <w:rFonts w:ascii="Arial" w:hAnsi="Arial" w:cs="Arial"/>
          <w:sz w:val="24"/>
          <w:szCs w:val="24"/>
        </w:rPr>
        <w:t>Prijava za zakup zemljišta za postavlj</w:t>
      </w:r>
      <w:r w:rsidR="00B24A49">
        <w:rPr>
          <w:rFonts w:ascii="Arial" w:hAnsi="Arial" w:cs="Arial"/>
          <w:sz w:val="24"/>
          <w:szCs w:val="24"/>
        </w:rPr>
        <w:t>anje privremenih</w:t>
      </w:r>
      <w:r w:rsidR="00A76BF0">
        <w:rPr>
          <w:rFonts w:ascii="Arial" w:hAnsi="Arial" w:cs="Arial"/>
          <w:sz w:val="24"/>
          <w:szCs w:val="24"/>
        </w:rPr>
        <w:t xml:space="preserve"> objek</w:t>
      </w:r>
      <w:r w:rsidR="00B24A49">
        <w:rPr>
          <w:rFonts w:ascii="Arial" w:hAnsi="Arial" w:cs="Arial"/>
          <w:sz w:val="24"/>
          <w:szCs w:val="24"/>
        </w:rPr>
        <w:t>a</w:t>
      </w:r>
      <w:r w:rsidR="00A76BF0">
        <w:rPr>
          <w:rFonts w:ascii="Arial" w:hAnsi="Arial" w:cs="Arial"/>
          <w:sz w:val="24"/>
          <w:szCs w:val="24"/>
        </w:rPr>
        <w:t>ta za 201</w:t>
      </w:r>
      <w:r w:rsidR="00671C0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godinu </w:t>
      </w:r>
      <w:r w:rsidR="00A53C1E">
        <w:rPr>
          <w:rFonts w:ascii="Arial" w:hAnsi="Arial" w:cs="Arial"/>
          <w:sz w:val="24"/>
          <w:szCs w:val="24"/>
        </w:rPr>
        <w:t xml:space="preserve">- ne otvaraj", </w:t>
      </w:r>
      <w:r w:rsidR="00B24A49">
        <w:rPr>
          <w:rFonts w:ascii="Arial" w:hAnsi="Arial" w:cs="Arial"/>
          <w:sz w:val="24"/>
          <w:szCs w:val="24"/>
        </w:rPr>
        <w:t>neposredno na</w:t>
      </w:r>
      <w:r w:rsidR="004F7C17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arhivi građanskog</w:t>
      </w:r>
      <w:r w:rsidR="004F7C17">
        <w:rPr>
          <w:rFonts w:ascii="Arial" w:hAnsi="Arial" w:cs="Arial"/>
          <w:sz w:val="24"/>
          <w:szCs w:val="24"/>
        </w:rPr>
        <w:t xml:space="preserve"> bi</w:t>
      </w:r>
      <w:r w:rsidR="00105DB3">
        <w:rPr>
          <w:rFonts w:ascii="Arial" w:hAnsi="Arial" w:cs="Arial"/>
          <w:sz w:val="24"/>
          <w:szCs w:val="24"/>
        </w:rPr>
        <w:t>ro</w:t>
      </w:r>
      <w:r w:rsidR="00B24A49">
        <w:rPr>
          <w:rFonts w:ascii="Arial" w:hAnsi="Arial" w:cs="Arial"/>
          <w:sz w:val="24"/>
          <w:szCs w:val="24"/>
        </w:rPr>
        <w:t>a</w:t>
      </w:r>
      <w:r w:rsidR="00105DB3">
        <w:rPr>
          <w:rFonts w:ascii="Arial" w:hAnsi="Arial" w:cs="Arial"/>
          <w:sz w:val="24"/>
          <w:szCs w:val="24"/>
        </w:rPr>
        <w:t xml:space="preserve"> Opštine Bar,</w:t>
      </w:r>
      <w:r w:rsidR="004432EF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zaključno sa </w:t>
      </w:r>
      <w:r w:rsidR="004260EC">
        <w:rPr>
          <w:rFonts w:ascii="Arial" w:hAnsi="Arial" w:cs="Arial"/>
          <w:b/>
          <w:sz w:val="24"/>
          <w:szCs w:val="24"/>
        </w:rPr>
        <w:t>24.</w:t>
      </w:r>
      <w:r w:rsidR="00671C0A">
        <w:rPr>
          <w:rFonts w:ascii="Arial" w:hAnsi="Arial" w:cs="Arial"/>
          <w:b/>
          <w:sz w:val="24"/>
          <w:szCs w:val="24"/>
        </w:rPr>
        <w:t>04</w:t>
      </w:r>
      <w:r w:rsidR="00B24A49">
        <w:rPr>
          <w:rFonts w:ascii="Arial" w:hAnsi="Arial" w:cs="Arial"/>
          <w:b/>
          <w:sz w:val="24"/>
          <w:szCs w:val="24"/>
        </w:rPr>
        <w:t xml:space="preserve">.2019. </w:t>
      </w:r>
      <w:proofErr w:type="gramStart"/>
      <w:r w:rsidR="00B24A49">
        <w:rPr>
          <w:rFonts w:ascii="Arial" w:hAnsi="Arial" w:cs="Arial"/>
          <w:b/>
          <w:sz w:val="24"/>
          <w:szCs w:val="24"/>
        </w:rPr>
        <w:t>godine</w:t>
      </w:r>
      <w:proofErr w:type="gramEnd"/>
      <w:r w:rsidR="004F7C17" w:rsidRPr="004B04ED">
        <w:rPr>
          <w:rFonts w:ascii="Arial" w:hAnsi="Arial" w:cs="Arial"/>
          <w:b/>
          <w:sz w:val="24"/>
          <w:szCs w:val="24"/>
        </w:rPr>
        <w:t>, do 1</w:t>
      </w:r>
      <w:r w:rsidR="00B24A49">
        <w:rPr>
          <w:rFonts w:ascii="Arial" w:hAnsi="Arial" w:cs="Arial"/>
          <w:b/>
          <w:sz w:val="24"/>
          <w:szCs w:val="24"/>
        </w:rPr>
        <w:t>2</w:t>
      </w:r>
      <w:r w:rsidR="00D149E8" w:rsidRPr="004B04ED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4F7C17" w:rsidRPr="004B04ED">
        <w:rPr>
          <w:rFonts w:ascii="Arial" w:hAnsi="Arial" w:cs="Arial"/>
          <w:b/>
          <w:sz w:val="24"/>
          <w:szCs w:val="24"/>
        </w:rPr>
        <w:t xml:space="preserve"> časova.</w:t>
      </w:r>
      <w:r w:rsidR="004F7C17">
        <w:rPr>
          <w:rFonts w:ascii="Arial" w:hAnsi="Arial" w:cs="Arial"/>
          <w:sz w:val="24"/>
          <w:szCs w:val="24"/>
        </w:rPr>
        <w:t xml:space="preserve"> </w:t>
      </w:r>
    </w:p>
    <w:p w:rsidR="000201C2" w:rsidRDefault="000201C2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lastRenderedPageBreak/>
        <w:t>Učesnici postupka javnog nadmetanja dužni su uz prijavu za javno nadmetanje sa tačn</w:t>
      </w:r>
      <w:r w:rsidR="000B6445">
        <w:rPr>
          <w:rFonts w:ascii="Arial" w:hAnsi="Arial" w:cs="Arial"/>
          <w:sz w:val="24"/>
          <w:szCs w:val="24"/>
        </w:rPr>
        <w:t>o naznačenim predmet</w:t>
      </w:r>
      <w:r w:rsidRPr="00562AB4">
        <w:rPr>
          <w:rFonts w:ascii="Arial" w:hAnsi="Arial" w:cs="Arial"/>
          <w:sz w:val="24"/>
          <w:szCs w:val="24"/>
        </w:rPr>
        <w:t>om zakupa (broj lokacije)</w:t>
      </w:r>
      <w:r w:rsidR="00A05CA8">
        <w:rPr>
          <w:rFonts w:ascii="Arial" w:hAnsi="Arial" w:cs="Arial"/>
          <w:sz w:val="24"/>
          <w:szCs w:val="24"/>
        </w:rPr>
        <w:t>,</w:t>
      </w:r>
      <w:r w:rsidRPr="00562AB4">
        <w:rPr>
          <w:rFonts w:ascii="Arial" w:hAnsi="Arial" w:cs="Arial"/>
          <w:sz w:val="24"/>
          <w:szCs w:val="24"/>
        </w:rPr>
        <w:t xml:space="preserve"> </w:t>
      </w:r>
      <w:r w:rsidR="00F078BE">
        <w:rPr>
          <w:rFonts w:ascii="Arial" w:hAnsi="Arial" w:cs="Arial"/>
          <w:sz w:val="24"/>
          <w:szCs w:val="24"/>
        </w:rPr>
        <w:t xml:space="preserve">za lokacije broj: </w:t>
      </w:r>
      <w:r w:rsidR="00CE5F5F">
        <w:rPr>
          <w:rFonts w:ascii="Arial" w:hAnsi="Arial" w:cs="Arial"/>
          <w:sz w:val="24"/>
          <w:szCs w:val="24"/>
        </w:rPr>
        <w:t>5.1, 6.4, 7.29, 12.21, 16.17, 16.18, 16.24, 17.3, 17.4, 24.1, 26.21, 32.1, 32.2,</w:t>
      </w:r>
      <w:r w:rsidR="00F14F5E">
        <w:rPr>
          <w:rFonts w:ascii="Arial" w:hAnsi="Arial" w:cs="Arial"/>
          <w:sz w:val="24"/>
          <w:szCs w:val="24"/>
        </w:rPr>
        <w:t xml:space="preserve"> </w:t>
      </w:r>
      <w:r w:rsidRPr="00562AB4">
        <w:rPr>
          <w:rFonts w:ascii="Arial" w:hAnsi="Arial" w:cs="Arial"/>
          <w:sz w:val="24"/>
          <w:szCs w:val="24"/>
        </w:rPr>
        <w:t>dostaviti dokaz o uplati depozita u iznosu od 10% početne cijene zakupa</w:t>
      </w:r>
      <w:r w:rsidR="00A05CA8">
        <w:rPr>
          <w:rFonts w:ascii="Arial" w:hAnsi="Arial" w:cs="Arial"/>
          <w:sz w:val="24"/>
          <w:szCs w:val="24"/>
        </w:rPr>
        <w:t>,</w:t>
      </w:r>
      <w:r w:rsidR="004F7C17">
        <w:rPr>
          <w:rFonts w:ascii="Arial" w:hAnsi="Arial" w:cs="Arial"/>
          <w:sz w:val="24"/>
          <w:szCs w:val="24"/>
        </w:rPr>
        <w:t xml:space="preserve"> a za sve ostale lokacije</w:t>
      </w:r>
      <w:r w:rsidR="00F078BE">
        <w:rPr>
          <w:rFonts w:ascii="Arial" w:hAnsi="Arial" w:cs="Arial"/>
          <w:sz w:val="24"/>
          <w:szCs w:val="24"/>
        </w:rPr>
        <w:t xml:space="preserve"> dokaz o uplati depozita </w:t>
      </w:r>
      <w:r w:rsidR="004F7C17">
        <w:rPr>
          <w:rFonts w:ascii="Arial" w:hAnsi="Arial" w:cs="Arial"/>
          <w:sz w:val="24"/>
          <w:szCs w:val="24"/>
        </w:rPr>
        <w:t xml:space="preserve"> u iznosu od 50</w:t>
      </w:r>
      <w:r w:rsidR="00D149E8">
        <w:rPr>
          <w:rFonts w:ascii="Arial" w:hAnsi="Arial" w:cs="Arial"/>
          <w:sz w:val="24"/>
          <w:szCs w:val="24"/>
        </w:rPr>
        <w:t>,00</w:t>
      </w:r>
      <w:r w:rsidR="004F7C17">
        <w:rPr>
          <w:rFonts w:ascii="Arial" w:hAnsi="Arial" w:cs="Arial"/>
          <w:sz w:val="24"/>
          <w:szCs w:val="24"/>
        </w:rPr>
        <w:t>€</w:t>
      </w:r>
      <w:r w:rsidR="00F078BE">
        <w:rPr>
          <w:rFonts w:ascii="Arial" w:hAnsi="Arial" w:cs="Arial"/>
          <w:sz w:val="24"/>
          <w:szCs w:val="24"/>
        </w:rPr>
        <w:t xml:space="preserve">, </w:t>
      </w:r>
      <w:r w:rsidRPr="00562AB4">
        <w:rPr>
          <w:rFonts w:ascii="Arial" w:hAnsi="Arial" w:cs="Arial"/>
          <w:sz w:val="24"/>
          <w:szCs w:val="24"/>
        </w:rPr>
        <w:t xml:space="preserve"> na žiro rač</w:t>
      </w:r>
      <w:r>
        <w:rPr>
          <w:rFonts w:ascii="Arial" w:hAnsi="Arial" w:cs="Arial"/>
          <w:sz w:val="24"/>
          <w:szCs w:val="24"/>
        </w:rPr>
        <w:t xml:space="preserve">un Opštine Bar, br. </w:t>
      </w:r>
      <w:r w:rsidR="00F9267E" w:rsidRPr="001265F5">
        <w:rPr>
          <w:rFonts w:ascii="Arial" w:hAnsi="Arial" w:cs="Arial"/>
          <w:b/>
          <w:sz w:val="24"/>
          <w:szCs w:val="24"/>
        </w:rPr>
        <w:t>5</w:t>
      </w:r>
      <w:r w:rsidR="00E45CC2" w:rsidRPr="001265F5">
        <w:rPr>
          <w:rFonts w:ascii="Arial" w:hAnsi="Arial" w:cs="Arial"/>
          <w:b/>
          <w:sz w:val="24"/>
          <w:szCs w:val="24"/>
        </w:rPr>
        <w:t>10-80962330-80</w:t>
      </w:r>
      <w:r w:rsidR="00E45CC2">
        <w:rPr>
          <w:rFonts w:ascii="Arial" w:hAnsi="Arial" w:cs="Arial"/>
          <w:sz w:val="24"/>
          <w:szCs w:val="24"/>
        </w:rPr>
        <w:t xml:space="preserve"> kod CKB AD Podgorica, </w:t>
      </w:r>
      <w:r>
        <w:rPr>
          <w:rFonts w:ascii="Arial" w:hAnsi="Arial" w:cs="Arial"/>
          <w:sz w:val="24"/>
          <w:szCs w:val="24"/>
        </w:rPr>
        <w:t>kao i sledeće podatke:</w:t>
      </w:r>
    </w:p>
    <w:p w:rsidR="000201C2" w:rsidRDefault="000201C2" w:rsidP="00140E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7FC6">
        <w:rPr>
          <w:rFonts w:ascii="Arial" w:hAnsi="Arial" w:cs="Arial"/>
          <w:b/>
          <w:bCs/>
          <w:sz w:val="24"/>
          <w:szCs w:val="24"/>
          <w:u w:val="single"/>
        </w:rPr>
        <w:t>fizička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 w:rsidRPr="00140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 i prezime, adresu, jedinstveni matični broj i potpis, broj telefona,</w:t>
      </w:r>
      <w:r w:rsidRPr="000C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broj </w:t>
      </w:r>
      <w:r w:rsidR="00F078BE">
        <w:rPr>
          <w:rFonts w:ascii="Arial" w:hAnsi="Arial" w:cs="Arial"/>
          <w:sz w:val="24"/>
          <w:szCs w:val="24"/>
        </w:rPr>
        <w:t xml:space="preserve">žiro </w:t>
      </w:r>
      <w:r>
        <w:rPr>
          <w:rFonts w:ascii="Arial" w:hAnsi="Arial" w:cs="Arial"/>
          <w:sz w:val="24"/>
          <w:szCs w:val="24"/>
        </w:rPr>
        <w:t>računa za povraćaj depozita, broj lične karte, odnosno broj pasoša stranog državljanina.</w:t>
      </w:r>
    </w:p>
    <w:p w:rsidR="00184598" w:rsidRPr="004025B1" w:rsidRDefault="000201C2" w:rsidP="004025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pravna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naziv i sjedište pravnog lica, </w:t>
      </w:r>
      <w:r w:rsidR="00A05CA8"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zvod iz </w:t>
      </w:r>
      <w:r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 Centralnog registra privrednih subjekata </w:t>
      </w:r>
      <w:r>
        <w:rPr>
          <w:rFonts w:ascii="Arial" w:hAnsi="Arial" w:cs="Arial"/>
          <w:sz w:val="24"/>
          <w:szCs w:val="24"/>
        </w:rPr>
        <w:t xml:space="preserve"> za domaća, odnosno dokaz o registr</w:t>
      </w:r>
      <w:r w:rsidR="00AA777A">
        <w:rPr>
          <w:rFonts w:ascii="Arial" w:hAnsi="Arial" w:cs="Arial"/>
          <w:sz w:val="24"/>
          <w:szCs w:val="24"/>
        </w:rPr>
        <w:t>aciji (ovjeren prevod) nadležno</w:t>
      </w:r>
      <w:r>
        <w:rPr>
          <w:rFonts w:ascii="Arial" w:hAnsi="Arial" w:cs="Arial"/>
          <w:sz w:val="24"/>
          <w:szCs w:val="24"/>
        </w:rPr>
        <w:t xml:space="preserve">g organa matične države stranog ponuđača za strana lica, ime i prezime direktora i njegov potpis, ovlašćenje – punomoćje za učestvovanje na javnom nadmetanju. </w:t>
      </w:r>
    </w:p>
    <w:p w:rsidR="000F303E" w:rsidRPr="00F715C3" w:rsidRDefault="000F303E" w:rsidP="000F303E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184598" w:rsidRPr="00184598" w:rsidRDefault="00184598" w:rsidP="00184598">
      <w:pPr>
        <w:jc w:val="both"/>
        <w:rPr>
          <w:rFonts w:ascii="Arial" w:hAnsi="Arial" w:cs="Arial"/>
          <w:b/>
          <w:sz w:val="24"/>
          <w:szCs w:val="24"/>
        </w:rPr>
      </w:pPr>
    </w:p>
    <w:p w:rsidR="000201C2" w:rsidRDefault="000201C2" w:rsidP="003F6A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6A7C">
        <w:rPr>
          <w:rFonts w:ascii="Arial" w:hAnsi="Arial" w:cs="Arial"/>
          <w:sz w:val="24"/>
          <w:szCs w:val="24"/>
        </w:rPr>
        <w:t xml:space="preserve">Ukoliko učesnik javnog nadmetanja učestvuje u postupku nadmetanja za </w:t>
      </w:r>
      <w:r>
        <w:rPr>
          <w:rFonts w:ascii="Arial" w:hAnsi="Arial" w:cs="Arial"/>
          <w:sz w:val="24"/>
          <w:szCs w:val="24"/>
        </w:rPr>
        <w:t>dvije i više lokacija,</w:t>
      </w:r>
      <w:r w:rsidRPr="003F6A7C">
        <w:rPr>
          <w:rFonts w:ascii="Arial" w:hAnsi="Arial" w:cs="Arial"/>
          <w:sz w:val="24"/>
          <w:szCs w:val="24"/>
        </w:rPr>
        <w:t xml:space="preserve"> dužan je za svaku </w:t>
      </w:r>
      <w:proofErr w:type="gramStart"/>
      <w:r w:rsidRPr="003F6A7C">
        <w:rPr>
          <w:rFonts w:ascii="Arial" w:hAnsi="Arial" w:cs="Arial"/>
          <w:sz w:val="24"/>
          <w:szCs w:val="24"/>
        </w:rPr>
        <w:t>od</w:t>
      </w:r>
      <w:proofErr w:type="gramEnd"/>
      <w:r w:rsidRPr="003F6A7C">
        <w:rPr>
          <w:rFonts w:ascii="Arial" w:hAnsi="Arial" w:cs="Arial"/>
          <w:sz w:val="24"/>
          <w:szCs w:val="24"/>
        </w:rPr>
        <w:t xml:space="preserve"> njih posebno uplatiti depozit, kao i posebno dostaviti kompletnu dokumentaciju</w:t>
      </w:r>
      <w:r>
        <w:rPr>
          <w:rFonts w:ascii="Arial" w:hAnsi="Arial" w:cs="Arial"/>
          <w:sz w:val="24"/>
          <w:szCs w:val="24"/>
        </w:rPr>
        <w:t>.</w:t>
      </w:r>
      <w:r w:rsidRPr="003F6A7C">
        <w:rPr>
          <w:rFonts w:ascii="Arial" w:hAnsi="Arial" w:cs="Arial"/>
          <w:sz w:val="24"/>
          <w:szCs w:val="24"/>
        </w:rPr>
        <w:t xml:space="preserve"> </w:t>
      </w:r>
    </w:p>
    <w:p w:rsidR="000201C2" w:rsidRPr="003F6A7C" w:rsidRDefault="000201C2" w:rsidP="003F6A7C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se učesnik prijavi za zakup jedne ili više lokacija, može da ovlasti jedno lice za zastupanje na nadmetanju, koje je odgovorno za ponudu učesnika i ispunjenje svih obaveza prema Komisiji. Ovlašćenje koje daje fizičko lice mora biti ovjereno od strane notara.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Podnosioci prijava za javno nadmetanje čije su prijave neblagovremene i nepotpune ne mogu učestvovati u javnom nadmetanju. 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</w:p>
    <w:p w:rsidR="00A31B1F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ED">
        <w:rPr>
          <w:rFonts w:ascii="Arial" w:hAnsi="Arial" w:cs="Arial"/>
          <w:b/>
          <w:sz w:val="24"/>
          <w:szCs w:val="24"/>
        </w:rPr>
        <w:t>Javno nadmetanje – aukcija će se održati u sali Opštine Bar, Bul</w:t>
      </w:r>
      <w:r w:rsidR="00AA777A" w:rsidRPr="004B04ED">
        <w:rPr>
          <w:rFonts w:ascii="Arial" w:hAnsi="Arial" w:cs="Arial"/>
          <w:b/>
          <w:sz w:val="24"/>
          <w:szCs w:val="24"/>
        </w:rPr>
        <w:t>evar Revolucije br. 1,</w:t>
      </w:r>
      <w:r w:rsidR="00AA777A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dana </w:t>
      </w:r>
      <w:r w:rsidR="004260EC">
        <w:rPr>
          <w:rFonts w:ascii="Arial" w:hAnsi="Arial" w:cs="Arial"/>
          <w:b/>
          <w:sz w:val="24"/>
          <w:szCs w:val="24"/>
        </w:rPr>
        <w:t>25.04.</w:t>
      </w:r>
      <w:r w:rsidR="00671C0A">
        <w:rPr>
          <w:rFonts w:ascii="Arial" w:hAnsi="Arial" w:cs="Arial"/>
          <w:b/>
          <w:sz w:val="24"/>
          <w:szCs w:val="24"/>
        </w:rPr>
        <w:t>2019</w:t>
      </w:r>
      <w:r w:rsidRPr="004B04E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04ED">
        <w:rPr>
          <w:rFonts w:ascii="Arial" w:hAnsi="Arial" w:cs="Arial"/>
          <w:b/>
          <w:sz w:val="24"/>
          <w:szCs w:val="24"/>
        </w:rPr>
        <w:t>godine</w:t>
      </w:r>
      <w:proofErr w:type="gramEnd"/>
      <w:r w:rsidRPr="004B04ED">
        <w:rPr>
          <w:rFonts w:ascii="Arial" w:hAnsi="Arial" w:cs="Arial"/>
          <w:b/>
          <w:sz w:val="24"/>
          <w:szCs w:val="24"/>
        </w:rPr>
        <w:t xml:space="preserve"> sa početkom u </w:t>
      </w:r>
      <w:r w:rsidR="000547BB">
        <w:rPr>
          <w:rFonts w:ascii="Arial" w:hAnsi="Arial" w:cs="Arial"/>
          <w:b/>
          <w:sz w:val="24"/>
          <w:szCs w:val="24"/>
        </w:rPr>
        <w:t>1</w:t>
      </w:r>
      <w:r w:rsidR="00671C0A">
        <w:rPr>
          <w:rFonts w:ascii="Arial" w:hAnsi="Arial" w:cs="Arial"/>
          <w:b/>
          <w:sz w:val="24"/>
          <w:szCs w:val="24"/>
        </w:rPr>
        <w:t>1</w:t>
      </w:r>
      <w:r w:rsidR="000547BB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4B04ED">
        <w:rPr>
          <w:rFonts w:ascii="Arial" w:hAnsi="Arial" w:cs="Arial"/>
          <w:b/>
          <w:sz w:val="24"/>
          <w:szCs w:val="24"/>
        </w:rPr>
        <w:t xml:space="preserve"> časova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01C2" w:rsidRDefault="00A31B1F" w:rsidP="00A31B1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Podnosioci prijava za javno nadmetanje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aukciju dužni su se registrovati kod Komisije.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Registracija učesnika obaviće se istog </w:t>
      </w:r>
      <w:proofErr w:type="gramStart"/>
      <w:r w:rsidR="000201C2" w:rsidRPr="004B04ED">
        <w:rPr>
          <w:rFonts w:ascii="Arial" w:hAnsi="Arial" w:cs="Arial"/>
          <w:b/>
          <w:sz w:val="24"/>
          <w:szCs w:val="24"/>
        </w:rPr>
        <w:t>dana</w:t>
      </w:r>
      <w:proofErr w:type="gramEnd"/>
      <w:r w:rsidR="000201C2" w:rsidRPr="004B04ED">
        <w:rPr>
          <w:rFonts w:ascii="Arial" w:hAnsi="Arial" w:cs="Arial"/>
          <w:b/>
          <w:sz w:val="24"/>
          <w:szCs w:val="24"/>
        </w:rPr>
        <w:t xml:space="preserve"> u sali Opštine Bar sa početkom u </w:t>
      </w:r>
      <w:r w:rsidR="00BF43DA">
        <w:rPr>
          <w:rFonts w:ascii="Arial" w:hAnsi="Arial" w:cs="Arial"/>
          <w:b/>
          <w:sz w:val="24"/>
          <w:szCs w:val="24"/>
        </w:rPr>
        <w:t>09</w:t>
      </w:r>
      <w:r w:rsidR="00671C0A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201C2" w:rsidRPr="004B04ED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 časova.</w:t>
      </w:r>
      <w:r>
        <w:rPr>
          <w:rFonts w:ascii="Arial" w:hAnsi="Arial" w:cs="Arial"/>
          <w:sz w:val="24"/>
          <w:szCs w:val="24"/>
        </w:rPr>
        <w:t xml:space="preserve"> Ukoliko se ne registruju gube pravo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povraćaj depozita</w:t>
      </w:r>
      <w:r w:rsidR="00D149E8">
        <w:rPr>
          <w:rFonts w:ascii="Arial" w:hAnsi="Arial" w:cs="Arial"/>
          <w:sz w:val="24"/>
          <w:szCs w:val="24"/>
        </w:rPr>
        <w:t>.</w:t>
      </w:r>
    </w:p>
    <w:p w:rsidR="001E2684" w:rsidRPr="00C628E9" w:rsidRDefault="001E2684" w:rsidP="005E16E6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</w:p>
    <w:p w:rsidR="000201C2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color w:val="000000"/>
          <w:sz w:val="24"/>
          <w:szCs w:val="24"/>
        </w:rPr>
        <w:t>Postupak javnog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  <w:sz w:val="24"/>
          <w:szCs w:val="24"/>
        </w:rPr>
        <w:t xml:space="preserve"> zakupcem</w:t>
      </w:r>
      <w:r w:rsidRPr="0029259B">
        <w:rPr>
          <w:rFonts w:ascii="Arial" w:hAnsi="Arial" w:cs="Arial"/>
          <w:color w:val="000000"/>
          <w:sz w:val="24"/>
          <w:szCs w:val="24"/>
        </w:rPr>
        <w:t>, a početna cijena na aukciji može biti cijena</w:t>
      </w:r>
      <w:r>
        <w:rPr>
          <w:rFonts w:ascii="Arial" w:hAnsi="Arial" w:cs="Arial"/>
          <w:color w:val="000000"/>
          <w:sz w:val="24"/>
          <w:szCs w:val="24"/>
        </w:rPr>
        <w:t xml:space="preserve"> zakupa</w:t>
      </w:r>
      <w:r w:rsidRPr="0029259B">
        <w:rPr>
          <w:rFonts w:ascii="Arial" w:hAnsi="Arial" w:cs="Arial"/>
          <w:color w:val="000000"/>
          <w:sz w:val="24"/>
          <w:szCs w:val="24"/>
        </w:rPr>
        <w:t xml:space="preserve">, s tim što ako učesnik odbije da prihvati </w:t>
      </w:r>
      <w:r>
        <w:rPr>
          <w:rFonts w:ascii="Arial" w:hAnsi="Arial" w:cs="Arial"/>
          <w:color w:val="000000"/>
          <w:sz w:val="24"/>
          <w:szCs w:val="24"/>
        </w:rPr>
        <w:t xml:space="preserve">početnu </w:t>
      </w:r>
      <w:r w:rsidRPr="0029259B">
        <w:rPr>
          <w:rFonts w:ascii="Arial" w:hAnsi="Arial" w:cs="Arial"/>
          <w:color w:val="000000"/>
          <w:sz w:val="24"/>
          <w:szCs w:val="24"/>
        </w:rPr>
        <w:t>cijenu, gubi pravo na povraćaj depozita.</w:t>
      </w:r>
    </w:p>
    <w:p w:rsidR="000201C2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Promjena raspona ponude u postupku javnog nadmetanja (aukcije), licitacioni korak,</w:t>
      </w:r>
      <w:r w:rsidR="00253C52">
        <w:rPr>
          <w:rFonts w:ascii="Arial" w:hAnsi="Arial" w:cs="Arial"/>
          <w:sz w:val="24"/>
          <w:szCs w:val="24"/>
        </w:rPr>
        <w:t xml:space="preserve"> za lokacije</w:t>
      </w:r>
      <w:r w:rsidR="003518A9">
        <w:rPr>
          <w:rFonts w:ascii="Arial" w:hAnsi="Arial" w:cs="Arial"/>
          <w:sz w:val="24"/>
          <w:szCs w:val="24"/>
        </w:rPr>
        <w:t xml:space="preserve"> </w:t>
      </w:r>
      <w:r w:rsidR="009D7DB3">
        <w:rPr>
          <w:rFonts w:ascii="Arial" w:hAnsi="Arial" w:cs="Arial"/>
          <w:sz w:val="24"/>
          <w:szCs w:val="24"/>
        </w:rPr>
        <w:t>17.4; 24.1; 26.24; 32.1; 32.2</w:t>
      </w:r>
      <w:proofErr w:type="gramStart"/>
      <w:r w:rsidR="009D7DB3">
        <w:rPr>
          <w:rFonts w:ascii="Arial" w:hAnsi="Arial" w:cs="Arial"/>
          <w:sz w:val="24"/>
          <w:szCs w:val="24"/>
        </w:rPr>
        <w:t>,</w:t>
      </w:r>
      <w:r w:rsidR="00253C52">
        <w:rPr>
          <w:rFonts w:ascii="Arial" w:hAnsi="Arial" w:cs="Arial"/>
          <w:sz w:val="24"/>
          <w:szCs w:val="24"/>
        </w:rPr>
        <w:t xml:space="preserve"> </w:t>
      </w:r>
      <w:r w:rsidR="001263B2">
        <w:rPr>
          <w:rFonts w:ascii="Arial" w:hAnsi="Arial" w:cs="Arial"/>
          <w:sz w:val="24"/>
          <w:szCs w:val="24"/>
        </w:rPr>
        <w:t xml:space="preserve"> iznosi</w:t>
      </w:r>
      <w:proofErr w:type="gramEnd"/>
      <w:r w:rsidR="001263B2">
        <w:rPr>
          <w:rFonts w:ascii="Arial" w:hAnsi="Arial" w:cs="Arial"/>
          <w:sz w:val="24"/>
          <w:szCs w:val="24"/>
        </w:rPr>
        <w:t xml:space="preserve"> 10</w:t>
      </w:r>
      <w:r w:rsidR="00253C5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4B04ED">
        <w:rPr>
          <w:rFonts w:ascii="Arial" w:hAnsi="Arial" w:cs="Arial"/>
          <w:sz w:val="24"/>
          <w:szCs w:val="24"/>
        </w:rPr>
        <w:t xml:space="preserve"> </w:t>
      </w:r>
      <w:r w:rsidRPr="0029259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, a za sve ostale lok</w:t>
      </w:r>
      <w:r w:rsidR="001263B2">
        <w:rPr>
          <w:rFonts w:ascii="Arial" w:hAnsi="Arial" w:cs="Arial"/>
          <w:sz w:val="24"/>
          <w:szCs w:val="24"/>
        </w:rPr>
        <w:t>acije 2</w:t>
      </w:r>
      <w:r>
        <w:rPr>
          <w:rFonts w:ascii="Arial" w:hAnsi="Arial" w:cs="Arial"/>
          <w:sz w:val="24"/>
          <w:szCs w:val="24"/>
        </w:rPr>
        <w:t>0,00</w:t>
      </w:r>
      <w:r w:rsidR="004B04ED">
        <w:rPr>
          <w:rFonts w:ascii="Arial" w:hAnsi="Arial" w:cs="Arial"/>
          <w:sz w:val="24"/>
          <w:szCs w:val="24"/>
        </w:rPr>
        <w:t xml:space="preserve"> </w:t>
      </w:r>
      <w:r w:rsidRPr="0029259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.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koji je ponudio najveću cijenu, a njegova ponuda smatra se prihvaćenom ponudom za </w:t>
      </w:r>
      <w:r>
        <w:rPr>
          <w:rFonts w:ascii="Arial" w:hAnsi="Arial" w:cs="Arial"/>
          <w:sz w:val="24"/>
          <w:szCs w:val="24"/>
        </w:rPr>
        <w:t xml:space="preserve">zakup </w:t>
      </w:r>
      <w:r w:rsidRPr="0029259B">
        <w:rPr>
          <w:rFonts w:ascii="Arial" w:hAnsi="Arial" w:cs="Arial"/>
          <w:sz w:val="24"/>
          <w:szCs w:val="24"/>
        </w:rPr>
        <w:t>predmetne</w:t>
      </w:r>
      <w:r>
        <w:rPr>
          <w:rFonts w:ascii="Arial" w:hAnsi="Arial" w:cs="Arial"/>
          <w:sz w:val="24"/>
          <w:szCs w:val="24"/>
        </w:rPr>
        <w:t xml:space="preserve"> lokacije</w:t>
      </w:r>
      <w:r w:rsidRPr="0029259B">
        <w:rPr>
          <w:rFonts w:ascii="Arial" w:hAnsi="Arial" w:cs="Arial"/>
          <w:sz w:val="24"/>
          <w:szCs w:val="24"/>
        </w:rPr>
        <w:t>.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</w:t>
      </w:r>
    </w:p>
    <w:p w:rsidR="000201C2" w:rsidRPr="0029259B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 xml:space="preserve">Postupak nadmetanja se završava ako niko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učesnika ni na treći poziv ne ponudi veću cijenu od do tada ponuđene najveće cijene. Ukoliko je najveću cijenu ponudio jedan ponuđač</w:t>
      </w:r>
      <w:r w:rsidR="00184598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on se proglašava</w:t>
      </w:r>
      <w:r>
        <w:rPr>
          <w:rFonts w:ascii="Arial" w:hAnsi="Arial" w:cs="Arial"/>
          <w:sz w:val="24"/>
          <w:szCs w:val="24"/>
        </w:rPr>
        <w:t xml:space="preserve"> zakupcem</w:t>
      </w:r>
      <w:r w:rsidRPr="002925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9259B">
        <w:rPr>
          <w:rFonts w:ascii="Arial" w:hAnsi="Arial" w:cs="Arial"/>
          <w:sz w:val="24"/>
          <w:szCs w:val="24"/>
        </w:rPr>
        <w:t>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ukoliko je više ponuđača ponudilo najveću cijenu, </w:t>
      </w:r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koji je prvi ponudio najveću postignutu cijenu. U slučaju da se za aukciju prijavilo više učesnika, a ni jedan ne ponudi cijenu veću od iznosa početne cijene, u tom slučaju </w:t>
      </w:r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čija prijava je ranije pristigla. </w:t>
      </w:r>
    </w:p>
    <w:p w:rsidR="000201C2" w:rsidRPr="00413379" w:rsidRDefault="000201C2" w:rsidP="0041337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O početku, toku i završetku aukcije sastavlja se zapisnik</w:t>
      </w:r>
      <w:r w:rsidR="003518A9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59B">
        <w:rPr>
          <w:rFonts w:ascii="Arial" w:hAnsi="Arial" w:cs="Arial"/>
          <w:sz w:val="24"/>
          <w:szCs w:val="24"/>
        </w:rPr>
        <w:t>na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koji učesnik aukcije može uložiti prigovor usmeno na zapisnik. Prigovor ne odlaže aukciju, a o </w:t>
      </w:r>
      <w:r w:rsidR="00456194">
        <w:rPr>
          <w:rFonts w:ascii="Arial" w:hAnsi="Arial" w:cs="Arial"/>
          <w:sz w:val="24"/>
          <w:szCs w:val="24"/>
        </w:rPr>
        <w:t>osnovanosti prigovora odlučuje K</w:t>
      </w:r>
      <w:r w:rsidRPr="0029259B">
        <w:rPr>
          <w:rFonts w:ascii="Arial" w:hAnsi="Arial" w:cs="Arial"/>
          <w:sz w:val="24"/>
          <w:szCs w:val="24"/>
        </w:rPr>
        <w:t xml:space="preserve">omisija, neposredno po njegovom iznošenju. Odluka Komisije po prigovoru je konačna. Komisija proglašava </w:t>
      </w:r>
      <w:r>
        <w:rPr>
          <w:rFonts w:ascii="Arial" w:hAnsi="Arial" w:cs="Arial"/>
          <w:sz w:val="24"/>
          <w:szCs w:val="24"/>
        </w:rPr>
        <w:t xml:space="preserve">zakupca </w:t>
      </w:r>
      <w:r w:rsidRPr="0029259B">
        <w:rPr>
          <w:rFonts w:ascii="Arial" w:hAnsi="Arial" w:cs="Arial"/>
          <w:sz w:val="24"/>
          <w:szCs w:val="24"/>
        </w:rPr>
        <w:t xml:space="preserve">i isto utvrđuje samim zapisnikom čiji se original dostavlja </w:t>
      </w:r>
      <w:r>
        <w:rPr>
          <w:rFonts w:ascii="Arial" w:hAnsi="Arial" w:cs="Arial"/>
          <w:sz w:val="24"/>
          <w:szCs w:val="24"/>
        </w:rPr>
        <w:t xml:space="preserve">zakupcu </w:t>
      </w:r>
      <w:r w:rsidRPr="0029259B">
        <w:rPr>
          <w:rFonts w:ascii="Arial" w:hAnsi="Arial" w:cs="Arial"/>
          <w:sz w:val="24"/>
          <w:szCs w:val="24"/>
        </w:rPr>
        <w:t xml:space="preserve">nakon potpisivanja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strane članova Komisije, </w:t>
      </w:r>
      <w:r>
        <w:rPr>
          <w:rFonts w:ascii="Arial" w:hAnsi="Arial" w:cs="Arial"/>
          <w:sz w:val="24"/>
          <w:szCs w:val="24"/>
        </w:rPr>
        <w:t>zakupca</w:t>
      </w:r>
      <w:r w:rsidRPr="002925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zakupodavca </w:t>
      </w:r>
      <w:r w:rsidRPr="0029259B">
        <w:rPr>
          <w:rFonts w:ascii="Arial" w:hAnsi="Arial" w:cs="Arial"/>
          <w:sz w:val="24"/>
          <w:szCs w:val="24"/>
        </w:rPr>
        <w:t>i ostalih učesnika aukcije. 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Najpovoljniji</w:t>
      </w:r>
      <w:r w:rsidR="00AA777A">
        <w:rPr>
          <w:rFonts w:ascii="Arial" w:hAnsi="Arial" w:cs="Arial"/>
          <w:sz w:val="24"/>
          <w:szCs w:val="24"/>
        </w:rPr>
        <w:t xml:space="preserve"> zakupac je dužan da u roku </w:t>
      </w:r>
      <w:proofErr w:type="gramStart"/>
      <w:r w:rsidR="00AA777A">
        <w:rPr>
          <w:rFonts w:ascii="Arial" w:hAnsi="Arial" w:cs="Arial"/>
          <w:sz w:val="24"/>
          <w:szCs w:val="24"/>
        </w:rPr>
        <w:t>od</w:t>
      </w:r>
      <w:proofErr w:type="gramEnd"/>
      <w:r w:rsidR="00AA777A">
        <w:rPr>
          <w:rFonts w:ascii="Arial" w:hAnsi="Arial" w:cs="Arial"/>
          <w:sz w:val="24"/>
          <w:szCs w:val="24"/>
        </w:rPr>
        <w:t xml:space="preserve"> </w:t>
      </w:r>
      <w:r w:rsidR="009B5C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dana od dana donošenja Odluke o izboru najpovoljnijeg ponuđača </w:t>
      </w:r>
      <w:r w:rsidR="009B5C76">
        <w:rPr>
          <w:rFonts w:ascii="Arial" w:hAnsi="Arial" w:cs="Arial"/>
          <w:sz w:val="24"/>
          <w:szCs w:val="24"/>
        </w:rPr>
        <w:t>i sa Opštinom zaključi U</w:t>
      </w:r>
      <w:r>
        <w:rPr>
          <w:rFonts w:ascii="Arial" w:hAnsi="Arial" w:cs="Arial"/>
          <w:sz w:val="24"/>
          <w:szCs w:val="24"/>
        </w:rPr>
        <w:t>govor o zakupu</w:t>
      </w:r>
      <w:r w:rsidR="009B5C76">
        <w:rPr>
          <w:rFonts w:ascii="Arial" w:hAnsi="Arial" w:cs="Arial"/>
          <w:sz w:val="24"/>
          <w:szCs w:val="24"/>
        </w:rPr>
        <w:t xml:space="preserve"> zemljišta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Ukoliko najpovoljniji ponuđač ne zaključi ugovor o zakupu i ne uplati iznos naknade</w:t>
      </w:r>
      <w:r w:rsidR="00AA777A">
        <w:rPr>
          <w:rFonts w:ascii="Arial" w:hAnsi="Arial" w:cs="Arial"/>
          <w:sz w:val="24"/>
          <w:szCs w:val="24"/>
        </w:rPr>
        <w:t xml:space="preserve"> utvrđene na aukciji u roku od 3</w:t>
      </w:r>
      <w:r>
        <w:rPr>
          <w:rFonts w:ascii="Arial" w:hAnsi="Arial" w:cs="Arial"/>
          <w:sz w:val="24"/>
          <w:szCs w:val="24"/>
        </w:rPr>
        <w:t xml:space="preserve"> dana gubi pravo na povraćaj depozita, a lokacija će biti ponuđena ponuđaču koji je ponudio sledeću najveću cijenu sa istim rokom u pogledu zaključenja ugovora i uplate iznosa naknade. </w:t>
      </w:r>
    </w:p>
    <w:p w:rsidR="000201C2" w:rsidRDefault="00967F88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Ukoliko tokom trajanja ugovora o zakupu dođe do privođenja prostora namjeni planiranoj planskim dokumentom, ugovor se neće obnavljati i zakupac </w:t>
      </w:r>
      <w:proofErr w:type="gramStart"/>
      <w:r>
        <w:rPr>
          <w:rFonts w:ascii="Arial" w:hAnsi="Arial" w:cs="Arial"/>
          <w:sz w:val="24"/>
          <w:szCs w:val="24"/>
        </w:rPr>
        <w:t>nema</w:t>
      </w:r>
      <w:proofErr w:type="gramEnd"/>
      <w:r>
        <w:rPr>
          <w:rFonts w:ascii="Arial" w:hAnsi="Arial" w:cs="Arial"/>
          <w:sz w:val="24"/>
          <w:szCs w:val="24"/>
        </w:rPr>
        <w:t xml:space="preserve"> pravo na povraćaj do tada uloženih sredstava. </w:t>
      </w:r>
    </w:p>
    <w:p w:rsidR="00967F88" w:rsidRDefault="00967F88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</w:p>
    <w:p w:rsidR="009B5C76" w:rsidRDefault="00DB2944" w:rsidP="002C457B">
      <w:pPr>
        <w:jc w:val="both"/>
        <w:rPr>
          <w:rFonts w:ascii="Arial" w:hAnsi="Arial" w:cs="Arial"/>
          <w:bCs/>
          <w:sz w:val="24"/>
          <w:szCs w:val="24"/>
        </w:rPr>
      </w:pPr>
      <w:r w:rsidRPr="009B5C76">
        <w:rPr>
          <w:rFonts w:ascii="Arial" w:hAnsi="Arial" w:cs="Arial"/>
          <w:b/>
          <w:bCs/>
          <w:sz w:val="24"/>
          <w:szCs w:val="24"/>
        </w:rPr>
        <w:tab/>
      </w:r>
      <w:r w:rsidRPr="009B5C76">
        <w:rPr>
          <w:rFonts w:ascii="Arial" w:hAnsi="Arial" w:cs="Arial"/>
          <w:bCs/>
          <w:sz w:val="24"/>
          <w:szCs w:val="24"/>
        </w:rPr>
        <w:t xml:space="preserve">Zakupac koji </w:t>
      </w:r>
      <w:proofErr w:type="gramStart"/>
      <w:r w:rsidRPr="009B5C76">
        <w:rPr>
          <w:rFonts w:ascii="Arial" w:hAnsi="Arial" w:cs="Arial"/>
          <w:bCs/>
          <w:sz w:val="24"/>
          <w:szCs w:val="24"/>
        </w:rPr>
        <w:t>sa</w:t>
      </w:r>
      <w:proofErr w:type="gramEnd"/>
      <w:r w:rsidRPr="009B5C76">
        <w:rPr>
          <w:rFonts w:ascii="Arial" w:hAnsi="Arial" w:cs="Arial"/>
          <w:bCs/>
          <w:sz w:val="24"/>
          <w:szCs w:val="24"/>
        </w:rPr>
        <w:t xml:space="preserve"> Opštinom Bar zaključi ugovor o zakupu zemljišta, dužan je da u roku od 3 dana</w:t>
      </w:r>
      <w:r w:rsidR="009B5C76">
        <w:rPr>
          <w:rFonts w:ascii="Arial" w:hAnsi="Arial" w:cs="Arial"/>
          <w:bCs/>
          <w:sz w:val="24"/>
          <w:szCs w:val="24"/>
        </w:rPr>
        <w:t xml:space="preserve"> od dana zaključenja ugovora</w:t>
      </w:r>
      <w:r w:rsidR="00A66AF5">
        <w:rPr>
          <w:rFonts w:ascii="Arial" w:hAnsi="Arial" w:cs="Arial"/>
          <w:bCs/>
          <w:sz w:val="24"/>
          <w:szCs w:val="24"/>
        </w:rPr>
        <w:t xml:space="preserve"> o zakupu zemljišta,</w:t>
      </w:r>
      <w:r w:rsidR="009B5C76">
        <w:rPr>
          <w:rFonts w:ascii="Arial" w:hAnsi="Arial" w:cs="Arial"/>
          <w:bCs/>
          <w:sz w:val="24"/>
          <w:szCs w:val="24"/>
        </w:rPr>
        <w:t xml:space="preserve"> dostavi zahtjev Sekretarijatu za uređenje prostora</w:t>
      </w:r>
      <w:r w:rsidRPr="009B5C76">
        <w:rPr>
          <w:rFonts w:ascii="Arial" w:hAnsi="Arial" w:cs="Arial"/>
          <w:bCs/>
          <w:sz w:val="24"/>
          <w:szCs w:val="24"/>
        </w:rPr>
        <w:t xml:space="preserve"> </w:t>
      </w:r>
      <w:r w:rsidR="002C457B" w:rsidRPr="009B5C76">
        <w:rPr>
          <w:rFonts w:ascii="Arial" w:hAnsi="Arial" w:cs="Arial"/>
          <w:bCs/>
          <w:sz w:val="24"/>
          <w:szCs w:val="24"/>
        </w:rPr>
        <w:t>Opštine Bar</w:t>
      </w:r>
      <w:r w:rsidR="009B5C76">
        <w:rPr>
          <w:rFonts w:ascii="Arial" w:hAnsi="Arial" w:cs="Arial"/>
          <w:bCs/>
          <w:sz w:val="24"/>
          <w:szCs w:val="24"/>
        </w:rPr>
        <w:t xml:space="preserve"> za izdavanje Urbanističkih uslova. </w:t>
      </w:r>
    </w:p>
    <w:p w:rsidR="00A66AF5" w:rsidRDefault="00A66AF5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9B5C76" w:rsidRDefault="009B5C76" w:rsidP="002C45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Zakupac je obavezan da nakon dobijanja Urbanističkih uslova izradi tehničku dokumentaciju</w:t>
      </w:r>
      <w:r w:rsidR="005E16E6">
        <w:rPr>
          <w:rFonts w:ascii="Arial" w:hAnsi="Arial" w:cs="Arial"/>
          <w:bCs/>
          <w:sz w:val="24"/>
          <w:szCs w:val="24"/>
        </w:rPr>
        <w:t xml:space="preserve"> u skladu </w:t>
      </w:r>
      <w:proofErr w:type="gramStart"/>
      <w:r w:rsidR="005E16E6">
        <w:rPr>
          <w:rFonts w:ascii="Arial" w:hAnsi="Arial" w:cs="Arial"/>
          <w:bCs/>
          <w:sz w:val="24"/>
          <w:szCs w:val="24"/>
        </w:rPr>
        <w:t>sa</w:t>
      </w:r>
      <w:proofErr w:type="gramEnd"/>
      <w:r w:rsidR="005E16E6">
        <w:rPr>
          <w:rFonts w:ascii="Arial" w:hAnsi="Arial" w:cs="Arial"/>
          <w:bCs/>
          <w:sz w:val="24"/>
          <w:szCs w:val="24"/>
        </w:rPr>
        <w:t xml:space="preserve"> uslovima</w:t>
      </w:r>
      <w:r>
        <w:rPr>
          <w:rFonts w:ascii="Arial" w:hAnsi="Arial" w:cs="Arial"/>
          <w:bCs/>
          <w:sz w:val="24"/>
          <w:szCs w:val="24"/>
        </w:rPr>
        <w:t xml:space="preserve">, pribavi saglasnost glavnog gradskog arhitetke i nakon dobijanja iste saglasnosti, dužan je obratiti se Sekretarijatu za finansije radi utvrđivanja </w:t>
      </w:r>
      <w:r w:rsidR="00A66AF5">
        <w:rPr>
          <w:rFonts w:ascii="Arial" w:hAnsi="Arial" w:cs="Arial"/>
          <w:bCs/>
          <w:sz w:val="24"/>
          <w:szCs w:val="24"/>
        </w:rPr>
        <w:t>i uplate</w:t>
      </w:r>
      <w:r>
        <w:rPr>
          <w:rFonts w:ascii="Arial" w:hAnsi="Arial" w:cs="Arial"/>
          <w:bCs/>
          <w:sz w:val="24"/>
          <w:szCs w:val="24"/>
        </w:rPr>
        <w:t xml:space="preserve"> lokalne komunalne takse</w:t>
      </w:r>
      <w:r w:rsidR="00A66AF5">
        <w:rPr>
          <w:rFonts w:ascii="Arial" w:hAnsi="Arial" w:cs="Arial"/>
          <w:bCs/>
          <w:sz w:val="24"/>
          <w:szCs w:val="24"/>
        </w:rPr>
        <w:t>.</w:t>
      </w:r>
    </w:p>
    <w:p w:rsidR="002C457B" w:rsidRDefault="002C457B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2C457B" w:rsidRPr="00577046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457B">
        <w:rPr>
          <w:rFonts w:ascii="Arial" w:hAnsi="Arial" w:cs="Arial"/>
          <w:b/>
          <w:bCs/>
          <w:sz w:val="24"/>
          <w:szCs w:val="24"/>
        </w:rPr>
        <w:t>VIII</w:t>
      </w:r>
    </w:p>
    <w:p w:rsidR="000201C2" w:rsidRDefault="000201C2" w:rsidP="00B91C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60E2E" w:rsidRPr="00060E2E">
        <w:rPr>
          <w:rFonts w:ascii="Arial" w:hAnsi="Arial" w:cs="Arial"/>
          <w:bCs/>
          <w:sz w:val="24"/>
          <w:szCs w:val="24"/>
        </w:rPr>
        <w:t xml:space="preserve">Učesnicima koji ne uspiju u postupku javnog nadmetanja izvršiće se povraćaj uplaćenog depozita nakon zaključenja ugovora sa najpovoljnijim ponuđačem. </w:t>
      </w:r>
    </w:p>
    <w:p w:rsidR="002C457B" w:rsidRPr="00060E2E" w:rsidRDefault="002C457B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15D3">
        <w:rPr>
          <w:rFonts w:ascii="Arial" w:hAnsi="Arial" w:cs="Arial"/>
          <w:sz w:val="24"/>
          <w:szCs w:val="24"/>
        </w:rPr>
        <w:t>Bliža</w:t>
      </w:r>
      <w:r>
        <w:rPr>
          <w:rFonts w:ascii="Arial" w:hAnsi="Arial" w:cs="Arial"/>
          <w:sz w:val="24"/>
          <w:szCs w:val="24"/>
        </w:rPr>
        <w:t xml:space="preserve"> obavještenja mogu se d</w:t>
      </w:r>
      <w:r w:rsidR="002217FE">
        <w:rPr>
          <w:rFonts w:ascii="Arial" w:hAnsi="Arial" w:cs="Arial"/>
          <w:sz w:val="24"/>
          <w:szCs w:val="24"/>
        </w:rPr>
        <w:t xml:space="preserve">obiti na telefon +382 30 301 </w:t>
      </w:r>
      <w:r w:rsidR="00481EC8">
        <w:rPr>
          <w:rFonts w:ascii="Arial" w:hAnsi="Arial" w:cs="Arial"/>
          <w:sz w:val="24"/>
          <w:szCs w:val="24"/>
        </w:rPr>
        <w:t>471</w:t>
      </w:r>
      <w:r w:rsidR="00F048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svakog radnog dana od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456194">
        <w:rPr>
          <w:rFonts w:ascii="Arial" w:hAnsi="Arial" w:cs="Arial"/>
          <w:sz w:val="24"/>
          <w:szCs w:val="24"/>
        </w:rPr>
        <w:t>4</w:t>
      </w:r>
      <w:r w:rsidR="00456194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časova ili neposredno u </w:t>
      </w:r>
      <w:r w:rsidR="00F414C1">
        <w:rPr>
          <w:rFonts w:ascii="Arial" w:hAnsi="Arial" w:cs="Arial"/>
          <w:sz w:val="24"/>
          <w:szCs w:val="24"/>
        </w:rPr>
        <w:t>kancelariji 125</w:t>
      </w:r>
      <w:r w:rsidR="00060E2E">
        <w:rPr>
          <w:rFonts w:ascii="Arial" w:hAnsi="Arial" w:cs="Arial"/>
          <w:sz w:val="24"/>
          <w:szCs w:val="24"/>
        </w:rPr>
        <w:t xml:space="preserve"> Sekretarijata za imovinu</w:t>
      </w:r>
      <w:proofErr w:type="gramStart"/>
      <w:r w:rsidR="00060E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zastupanje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60E2E">
        <w:rPr>
          <w:rFonts w:ascii="Arial" w:hAnsi="Arial" w:cs="Arial"/>
          <w:sz w:val="24"/>
          <w:szCs w:val="24"/>
        </w:rPr>
        <w:t xml:space="preserve">i investicije </w:t>
      </w:r>
      <w:r>
        <w:rPr>
          <w:rFonts w:ascii="Arial" w:hAnsi="Arial" w:cs="Arial"/>
          <w:sz w:val="24"/>
          <w:szCs w:val="24"/>
        </w:rPr>
        <w:t>Opštine Bar, Bulevar Revolucije br.</w:t>
      </w:r>
      <w:r w:rsidR="00F414C1">
        <w:rPr>
          <w:rFonts w:ascii="Arial" w:hAnsi="Arial" w:cs="Arial"/>
          <w:sz w:val="24"/>
          <w:szCs w:val="24"/>
        </w:rPr>
        <w:t xml:space="preserve"> 1, a</w:t>
      </w:r>
      <w:r w:rsidR="00F048D3">
        <w:rPr>
          <w:rFonts w:ascii="Arial" w:hAnsi="Arial" w:cs="Arial"/>
          <w:sz w:val="24"/>
          <w:szCs w:val="24"/>
        </w:rPr>
        <w:t xml:space="preserve"> uvid u Program privremenih objekata, radi upoznavanja sa lokacijama moguće je ostvariti </w:t>
      </w:r>
      <w:r w:rsidR="000052DD" w:rsidRPr="00036D99">
        <w:rPr>
          <w:rFonts w:ascii="Arial" w:hAnsi="Arial" w:cs="Arial"/>
          <w:sz w:val="24"/>
          <w:szCs w:val="24"/>
        </w:rPr>
        <w:t xml:space="preserve">radnim danima </w:t>
      </w:r>
      <w:r w:rsidR="00F048D3">
        <w:rPr>
          <w:rFonts w:ascii="Arial" w:hAnsi="Arial" w:cs="Arial"/>
          <w:sz w:val="24"/>
          <w:szCs w:val="24"/>
        </w:rPr>
        <w:t xml:space="preserve">u vremenu od </w:t>
      </w:r>
      <w:r w:rsidR="00F048D3" w:rsidRPr="00036D99">
        <w:rPr>
          <w:rFonts w:ascii="Arial" w:hAnsi="Arial" w:cs="Arial"/>
          <w:sz w:val="24"/>
          <w:szCs w:val="24"/>
        </w:rPr>
        <w:t>11</w:t>
      </w:r>
      <w:r w:rsidR="00F048D3" w:rsidRPr="00036D9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F048D3" w:rsidRPr="00036D99">
        <w:rPr>
          <w:rFonts w:ascii="Arial" w:hAnsi="Arial" w:cs="Arial"/>
          <w:sz w:val="24"/>
          <w:szCs w:val="24"/>
        </w:rPr>
        <w:t xml:space="preserve">do </w:t>
      </w:r>
      <w:r w:rsidR="005E16E6">
        <w:rPr>
          <w:rFonts w:ascii="Arial" w:hAnsi="Arial" w:cs="Arial"/>
          <w:sz w:val="24"/>
          <w:szCs w:val="24"/>
        </w:rPr>
        <w:t>14</w:t>
      </w:r>
      <w:r w:rsidR="005E16E6" w:rsidRPr="005E16E6">
        <w:rPr>
          <w:rFonts w:ascii="Arial" w:hAnsi="Arial" w:cs="Arial"/>
          <w:sz w:val="24"/>
          <w:szCs w:val="24"/>
          <w:vertAlign w:val="superscript"/>
        </w:rPr>
        <w:t>00</w:t>
      </w:r>
      <w:r w:rsidR="005E16E6">
        <w:rPr>
          <w:rFonts w:ascii="Arial" w:hAnsi="Arial" w:cs="Arial"/>
          <w:sz w:val="24"/>
          <w:szCs w:val="24"/>
        </w:rPr>
        <w:t xml:space="preserve"> časova u Sekretarijatu za uređenje prostora, kancelarija 245.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445C0B" w:rsidRDefault="00445C0B" w:rsidP="00B91C6E">
      <w:pPr>
        <w:jc w:val="both"/>
        <w:rPr>
          <w:rFonts w:ascii="Arial" w:hAnsi="Arial" w:cs="Arial"/>
          <w:sz w:val="24"/>
          <w:szCs w:val="24"/>
        </w:rPr>
      </w:pPr>
    </w:p>
    <w:p w:rsidR="003723E5" w:rsidRDefault="003723E5" w:rsidP="00B91C6E">
      <w:pPr>
        <w:jc w:val="both"/>
        <w:rPr>
          <w:rFonts w:ascii="Arial" w:hAnsi="Arial" w:cs="Arial"/>
          <w:sz w:val="24"/>
          <w:szCs w:val="24"/>
        </w:rPr>
      </w:pPr>
    </w:p>
    <w:p w:rsidR="003723E5" w:rsidRDefault="003723E5" w:rsidP="00B91C6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01C2" w:rsidRDefault="000201C2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1A27E1"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="000A0632" w:rsidRPr="001A27E1">
        <w:rPr>
          <w:rFonts w:ascii="Arial" w:hAnsi="Arial" w:cs="Arial"/>
          <w:sz w:val="24"/>
          <w:szCs w:val="24"/>
          <w:lang w:val="sl-SI"/>
        </w:rPr>
        <w:t xml:space="preserve">                </w:t>
      </w:r>
      <w:r w:rsidR="000A0632" w:rsidRPr="001A27E1">
        <w:rPr>
          <w:rFonts w:ascii="Arial" w:hAnsi="Arial" w:cs="Arial"/>
          <w:b/>
          <w:sz w:val="24"/>
          <w:szCs w:val="24"/>
          <w:lang w:val="sl-SI"/>
        </w:rPr>
        <w:t>KOMISIJA ZA SPROVOĐENJE POSTUPKA</w:t>
      </w:r>
      <w:r w:rsidR="00445C0B" w:rsidRPr="001A27E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E16E6">
        <w:rPr>
          <w:rFonts w:ascii="Arial" w:hAnsi="Arial" w:cs="Arial"/>
          <w:b/>
          <w:sz w:val="24"/>
          <w:szCs w:val="24"/>
          <w:lang w:val="sl-SI"/>
        </w:rPr>
        <w:t>JAVNOG NADMETANJA</w:t>
      </w:r>
    </w:p>
    <w:p w:rsidR="003753D7" w:rsidRDefault="003753D7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753D7" w:rsidRDefault="003753D7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753D7" w:rsidRDefault="003753D7" w:rsidP="003753D7"/>
    <w:p w:rsidR="003753D7" w:rsidRDefault="003753D7" w:rsidP="003753D7"/>
    <w:p w:rsidR="003753D7" w:rsidRDefault="003753D7" w:rsidP="003753D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NAPOMENA:</w:t>
      </w:r>
    </w:p>
    <w:p w:rsidR="003753D7" w:rsidRPr="004B04ED" w:rsidRDefault="003753D7" w:rsidP="003753D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Javni poziv je objavljen u dnevnom listu »Pobjeda« dana </w:t>
      </w:r>
      <w:r w:rsidR="00247FA5">
        <w:rPr>
          <w:rFonts w:ascii="Arial" w:hAnsi="Arial" w:cs="Arial"/>
          <w:b/>
          <w:sz w:val="24"/>
          <w:szCs w:val="24"/>
          <w:lang w:val="sl-SI"/>
        </w:rPr>
        <w:t>15.04.2019</w:t>
      </w:r>
      <w:r>
        <w:rPr>
          <w:rFonts w:ascii="Arial" w:hAnsi="Arial" w:cs="Arial"/>
          <w:b/>
          <w:sz w:val="24"/>
          <w:szCs w:val="24"/>
          <w:lang w:val="sl-SI"/>
        </w:rPr>
        <w:t>. godine</w:t>
      </w:r>
    </w:p>
    <w:p w:rsidR="003753D7" w:rsidRPr="00DC1912" w:rsidRDefault="003753D7" w:rsidP="003753D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3753D7" w:rsidRDefault="003753D7" w:rsidP="003753D7"/>
    <w:p w:rsidR="003753D7" w:rsidRPr="005E16E6" w:rsidRDefault="003753D7" w:rsidP="005E16E6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sectPr w:rsidR="003753D7" w:rsidRPr="005E16E6" w:rsidSect="00445C0B">
      <w:pgSz w:w="11906" w:h="16838"/>
      <w:pgMar w:top="108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6D"/>
    <w:multiLevelType w:val="hybridMultilevel"/>
    <w:tmpl w:val="E6CE07B8"/>
    <w:lvl w:ilvl="0" w:tplc="1724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C6E"/>
    <w:rsid w:val="000052DD"/>
    <w:rsid w:val="0001261A"/>
    <w:rsid w:val="000201C2"/>
    <w:rsid w:val="0002535B"/>
    <w:rsid w:val="000260D3"/>
    <w:rsid w:val="00032FCB"/>
    <w:rsid w:val="00036D99"/>
    <w:rsid w:val="00044B2B"/>
    <w:rsid w:val="000544DB"/>
    <w:rsid w:val="000547BB"/>
    <w:rsid w:val="00060E2E"/>
    <w:rsid w:val="00064E0F"/>
    <w:rsid w:val="00071072"/>
    <w:rsid w:val="000767F4"/>
    <w:rsid w:val="000835F8"/>
    <w:rsid w:val="00090D41"/>
    <w:rsid w:val="00096F4D"/>
    <w:rsid w:val="000A0632"/>
    <w:rsid w:val="000B6445"/>
    <w:rsid w:val="000C1DEE"/>
    <w:rsid w:val="000D4521"/>
    <w:rsid w:val="000F303E"/>
    <w:rsid w:val="00105DB3"/>
    <w:rsid w:val="00112040"/>
    <w:rsid w:val="00112103"/>
    <w:rsid w:val="00120D46"/>
    <w:rsid w:val="001263B2"/>
    <w:rsid w:val="001265F5"/>
    <w:rsid w:val="0013241B"/>
    <w:rsid w:val="00140E4C"/>
    <w:rsid w:val="00143190"/>
    <w:rsid w:val="00177E84"/>
    <w:rsid w:val="00184598"/>
    <w:rsid w:val="001A27E1"/>
    <w:rsid w:val="001C2B87"/>
    <w:rsid w:val="001E2684"/>
    <w:rsid w:val="0021122E"/>
    <w:rsid w:val="00213908"/>
    <w:rsid w:val="002217FE"/>
    <w:rsid w:val="00247FA5"/>
    <w:rsid w:val="00253C52"/>
    <w:rsid w:val="00257FC6"/>
    <w:rsid w:val="00260C91"/>
    <w:rsid w:val="00261D57"/>
    <w:rsid w:val="0029259B"/>
    <w:rsid w:val="002A1C36"/>
    <w:rsid w:val="002A2D0E"/>
    <w:rsid w:val="002C457B"/>
    <w:rsid w:val="002D2F5D"/>
    <w:rsid w:val="002F42E3"/>
    <w:rsid w:val="00336591"/>
    <w:rsid w:val="00344D31"/>
    <w:rsid w:val="003518A9"/>
    <w:rsid w:val="0036269F"/>
    <w:rsid w:val="003723E5"/>
    <w:rsid w:val="003753D7"/>
    <w:rsid w:val="00384631"/>
    <w:rsid w:val="00397852"/>
    <w:rsid w:val="003B28A9"/>
    <w:rsid w:val="003C601E"/>
    <w:rsid w:val="003E7ABD"/>
    <w:rsid w:val="003F2F26"/>
    <w:rsid w:val="003F6A7C"/>
    <w:rsid w:val="004025B1"/>
    <w:rsid w:val="00411733"/>
    <w:rsid w:val="00413379"/>
    <w:rsid w:val="00416087"/>
    <w:rsid w:val="00421F45"/>
    <w:rsid w:val="00422966"/>
    <w:rsid w:val="00423DDC"/>
    <w:rsid w:val="004260EC"/>
    <w:rsid w:val="00436376"/>
    <w:rsid w:val="004363F0"/>
    <w:rsid w:val="004432EF"/>
    <w:rsid w:val="00445C0B"/>
    <w:rsid w:val="00456194"/>
    <w:rsid w:val="00467B58"/>
    <w:rsid w:val="00472132"/>
    <w:rsid w:val="00481B9D"/>
    <w:rsid w:val="00481EC8"/>
    <w:rsid w:val="004824D5"/>
    <w:rsid w:val="00492BF9"/>
    <w:rsid w:val="004B04ED"/>
    <w:rsid w:val="004B1946"/>
    <w:rsid w:val="004B6226"/>
    <w:rsid w:val="004D6ECB"/>
    <w:rsid w:val="004F7C17"/>
    <w:rsid w:val="00500C36"/>
    <w:rsid w:val="00537ECE"/>
    <w:rsid w:val="00562AB4"/>
    <w:rsid w:val="00571405"/>
    <w:rsid w:val="00571FAA"/>
    <w:rsid w:val="00577046"/>
    <w:rsid w:val="005776E5"/>
    <w:rsid w:val="00597759"/>
    <w:rsid w:val="00597F88"/>
    <w:rsid w:val="005D41B6"/>
    <w:rsid w:val="005E16E6"/>
    <w:rsid w:val="005E42FF"/>
    <w:rsid w:val="005F256F"/>
    <w:rsid w:val="00623B1E"/>
    <w:rsid w:val="00671C0A"/>
    <w:rsid w:val="00681F05"/>
    <w:rsid w:val="006A4534"/>
    <w:rsid w:val="006C2003"/>
    <w:rsid w:val="006D664C"/>
    <w:rsid w:val="007015D3"/>
    <w:rsid w:val="0070346D"/>
    <w:rsid w:val="00737DEB"/>
    <w:rsid w:val="0074411E"/>
    <w:rsid w:val="00754C53"/>
    <w:rsid w:val="00786599"/>
    <w:rsid w:val="007867F0"/>
    <w:rsid w:val="007945B3"/>
    <w:rsid w:val="007E5E5E"/>
    <w:rsid w:val="00804E8C"/>
    <w:rsid w:val="0081299F"/>
    <w:rsid w:val="00826DF0"/>
    <w:rsid w:val="00855C95"/>
    <w:rsid w:val="008568E4"/>
    <w:rsid w:val="00863348"/>
    <w:rsid w:val="00866542"/>
    <w:rsid w:val="00876C79"/>
    <w:rsid w:val="0087784A"/>
    <w:rsid w:val="0088016A"/>
    <w:rsid w:val="008A27C9"/>
    <w:rsid w:val="008A3293"/>
    <w:rsid w:val="008B3F74"/>
    <w:rsid w:val="008D3E32"/>
    <w:rsid w:val="008D7562"/>
    <w:rsid w:val="00916625"/>
    <w:rsid w:val="00922EFA"/>
    <w:rsid w:val="00955ECC"/>
    <w:rsid w:val="00961BB6"/>
    <w:rsid w:val="009639F7"/>
    <w:rsid w:val="00967F88"/>
    <w:rsid w:val="00980439"/>
    <w:rsid w:val="00992B5D"/>
    <w:rsid w:val="009B58CC"/>
    <w:rsid w:val="009B5C76"/>
    <w:rsid w:val="009C711D"/>
    <w:rsid w:val="009D16A0"/>
    <w:rsid w:val="009D7DB3"/>
    <w:rsid w:val="009E0F94"/>
    <w:rsid w:val="009E4FC3"/>
    <w:rsid w:val="00A05CA8"/>
    <w:rsid w:val="00A31B1F"/>
    <w:rsid w:val="00A434B1"/>
    <w:rsid w:val="00A53C1E"/>
    <w:rsid w:val="00A66AF5"/>
    <w:rsid w:val="00A76BF0"/>
    <w:rsid w:val="00A83194"/>
    <w:rsid w:val="00A93561"/>
    <w:rsid w:val="00AA777A"/>
    <w:rsid w:val="00AC2AF8"/>
    <w:rsid w:val="00AD0B40"/>
    <w:rsid w:val="00AE403F"/>
    <w:rsid w:val="00AF6DC0"/>
    <w:rsid w:val="00B05BF0"/>
    <w:rsid w:val="00B24A49"/>
    <w:rsid w:val="00B3128E"/>
    <w:rsid w:val="00B458DC"/>
    <w:rsid w:val="00B71134"/>
    <w:rsid w:val="00B74468"/>
    <w:rsid w:val="00B76AFF"/>
    <w:rsid w:val="00B9057A"/>
    <w:rsid w:val="00B91C6E"/>
    <w:rsid w:val="00BA36BB"/>
    <w:rsid w:val="00BC120F"/>
    <w:rsid w:val="00BC1628"/>
    <w:rsid w:val="00BD0938"/>
    <w:rsid w:val="00BD4C5C"/>
    <w:rsid w:val="00BD743E"/>
    <w:rsid w:val="00BF43DA"/>
    <w:rsid w:val="00BF6E3F"/>
    <w:rsid w:val="00C058A5"/>
    <w:rsid w:val="00C12A38"/>
    <w:rsid w:val="00C12CC9"/>
    <w:rsid w:val="00C47DC8"/>
    <w:rsid w:val="00C54F82"/>
    <w:rsid w:val="00C55294"/>
    <w:rsid w:val="00C628E9"/>
    <w:rsid w:val="00C918A2"/>
    <w:rsid w:val="00C95233"/>
    <w:rsid w:val="00CD2ACD"/>
    <w:rsid w:val="00CD7CAD"/>
    <w:rsid w:val="00CE5F5F"/>
    <w:rsid w:val="00D149E8"/>
    <w:rsid w:val="00D36FD0"/>
    <w:rsid w:val="00D421D1"/>
    <w:rsid w:val="00D62F34"/>
    <w:rsid w:val="00DA244A"/>
    <w:rsid w:val="00DB2944"/>
    <w:rsid w:val="00DC1912"/>
    <w:rsid w:val="00DD071E"/>
    <w:rsid w:val="00DE36DE"/>
    <w:rsid w:val="00E04A41"/>
    <w:rsid w:val="00E15E8B"/>
    <w:rsid w:val="00E35077"/>
    <w:rsid w:val="00E45CC2"/>
    <w:rsid w:val="00E5554B"/>
    <w:rsid w:val="00E55647"/>
    <w:rsid w:val="00E6024F"/>
    <w:rsid w:val="00E9788C"/>
    <w:rsid w:val="00EA43E3"/>
    <w:rsid w:val="00EF358F"/>
    <w:rsid w:val="00EF74D8"/>
    <w:rsid w:val="00F048D3"/>
    <w:rsid w:val="00F078BE"/>
    <w:rsid w:val="00F149D7"/>
    <w:rsid w:val="00F14F5E"/>
    <w:rsid w:val="00F164AA"/>
    <w:rsid w:val="00F21E9F"/>
    <w:rsid w:val="00F414C1"/>
    <w:rsid w:val="00F47832"/>
    <w:rsid w:val="00F5112E"/>
    <w:rsid w:val="00F51C54"/>
    <w:rsid w:val="00F715C3"/>
    <w:rsid w:val="00F9267E"/>
    <w:rsid w:val="00F92B2B"/>
    <w:rsid w:val="00F96F42"/>
    <w:rsid w:val="00FA3820"/>
    <w:rsid w:val="00FB7EE2"/>
    <w:rsid w:val="00FC5AD4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C6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562AB4"/>
    <w:pPr>
      <w:spacing w:after="160" w:line="240" w:lineRule="exact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115F-5790-4F33-81BD-278EFF1B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8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emina.hot</cp:lastModifiedBy>
  <cp:revision>54</cp:revision>
  <cp:lastPrinted>2019-04-14T10:15:00Z</cp:lastPrinted>
  <dcterms:created xsi:type="dcterms:W3CDTF">2018-01-15T11:13:00Z</dcterms:created>
  <dcterms:modified xsi:type="dcterms:W3CDTF">2019-04-15T06:02:00Z</dcterms:modified>
</cp:coreProperties>
</file>